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4FA" w:rsidRPr="00C94DBE" w:rsidRDefault="006344FA" w:rsidP="006344FA">
      <w:pPr>
        <w:pStyle w:val="aa"/>
        <w:rPr>
          <w:rFonts w:eastAsia="宋体" w:cs="Arial"/>
          <w:lang w:eastAsia="zh-CN"/>
        </w:rPr>
      </w:pPr>
      <w:r w:rsidRPr="00C94DBE">
        <w:rPr>
          <w:rFonts w:cs="Arial"/>
        </w:rPr>
        <w:t>3GPP TSG-RAN WG4 Meeting #</w:t>
      </w:r>
      <w:r w:rsidRPr="00C94DBE">
        <w:rPr>
          <w:rFonts w:eastAsia="宋体" w:cs="Arial"/>
          <w:lang w:eastAsia="zh-CN"/>
        </w:rPr>
        <w:t>9</w:t>
      </w:r>
      <w:r w:rsidR="00091A41">
        <w:rPr>
          <w:rFonts w:eastAsia="宋体" w:cs="Arial"/>
          <w:lang w:eastAsia="zh-CN"/>
        </w:rPr>
        <w:t>5</w:t>
      </w:r>
      <w:r>
        <w:rPr>
          <w:rFonts w:eastAsia="宋体" w:cs="Arial" w:hint="eastAsia"/>
          <w:lang w:eastAsia="zh-CN"/>
        </w:rPr>
        <w:t>-e</w:t>
      </w:r>
      <w:r w:rsidR="00091A4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sidR="00577D1F">
        <w:rPr>
          <w:rFonts w:eastAsia="宋体" w:cs="Arial" w:hint="eastAsia"/>
          <w:lang w:eastAsia="zh-CN"/>
        </w:rPr>
        <w:t>R4-200</w:t>
      </w:r>
      <w:r w:rsidR="003A0047">
        <w:rPr>
          <w:rFonts w:eastAsia="宋体" w:cs="Arial"/>
          <w:lang w:eastAsia="zh-CN"/>
        </w:rPr>
        <w:t>6800</w:t>
      </w:r>
      <w:r>
        <w:rPr>
          <w:rFonts w:eastAsia="宋体" w:cs="Arial"/>
          <w:lang w:eastAsia="zh-CN"/>
        </w:rPr>
        <w:t xml:space="preserve">                       </w:t>
      </w:r>
      <w:r>
        <w:rPr>
          <w:rFonts w:eastAsia="宋体" w:cs="Arial" w:hint="eastAsia"/>
          <w:lang w:eastAsia="zh-CN"/>
        </w:rPr>
        <w:t xml:space="preserve">       </w:t>
      </w:r>
      <w:r w:rsidRPr="00C94DBE">
        <w:rPr>
          <w:rFonts w:eastAsia="宋体" w:cs="Arial"/>
          <w:lang w:eastAsia="zh-CN"/>
        </w:rPr>
        <w:t xml:space="preserve">                                       </w:t>
      </w:r>
      <w:r>
        <w:rPr>
          <w:rFonts w:eastAsia="宋体" w:cs="Arial"/>
          <w:lang w:eastAsia="zh-CN"/>
        </w:rPr>
        <w:t xml:space="preserve">                             </w:t>
      </w:r>
    </w:p>
    <w:p w:rsidR="006344FA" w:rsidRPr="00051CD8" w:rsidRDefault="006344FA" w:rsidP="006344FA">
      <w:pPr>
        <w:pStyle w:val="a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w:t>
      </w:r>
      <w:r w:rsidR="00091A41">
        <w:rPr>
          <w:rFonts w:cs="Arial"/>
        </w:rPr>
        <w:t>5</w:t>
      </w:r>
      <w:r w:rsidRPr="00F02CB0">
        <w:rPr>
          <w:rFonts w:cs="Arial"/>
          <w:vertAlign w:val="superscript"/>
        </w:rPr>
        <w:t>th</w:t>
      </w:r>
      <w:r w:rsidR="00091A41">
        <w:rPr>
          <w:rFonts w:cs="Arial"/>
          <w:vertAlign w:val="superscript"/>
        </w:rPr>
        <w:t xml:space="preserve"> </w:t>
      </w:r>
      <w:r w:rsidR="00091A41">
        <w:rPr>
          <w:rFonts w:cs="Arial"/>
        </w:rPr>
        <w:t>May</w:t>
      </w:r>
      <w:r w:rsidRPr="00051CD8">
        <w:rPr>
          <w:rFonts w:cs="Arial"/>
        </w:rPr>
        <w:t>–</w:t>
      </w:r>
      <w:r w:rsidRPr="00051CD8">
        <w:rPr>
          <w:rFonts w:cs="Arial" w:hint="eastAsia"/>
        </w:rPr>
        <w:t xml:space="preserve"> </w:t>
      </w:r>
      <w:r w:rsidR="00091A41">
        <w:rPr>
          <w:rFonts w:eastAsiaTheme="minorEastAsia" w:cs="Arial"/>
          <w:lang w:eastAsia="zh-CN"/>
        </w:rPr>
        <w:t>5</w:t>
      </w:r>
      <w:r>
        <w:rPr>
          <w:rFonts w:cs="Arial"/>
          <w:vertAlign w:val="superscript"/>
        </w:rPr>
        <w:t>th</w:t>
      </w:r>
      <w:r>
        <w:rPr>
          <w:rFonts w:eastAsiaTheme="minorEastAsia" w:cs="Arial" w:hint="eastAsia"/>
          <w:lang w:eastAsia="zh-CN"/>
        </w:rPr>
        <w:t xml:space="preserve"> </w:t>
      </w:r>
      <w:r w:rsidR="00091A41">
        <w:rPr>
          <w:rFonts w:eastAsiaTheme="minorEastAsia" w:cs="Arial"/>
          <w:lang w:eastAsia="zh-CN"/>
        </w:rPr>
        <w:t>June</w:t>
      </w:r>
      <w:r w:rsidRPr="00051CD8">
        <w:rPr>
          <w:rFonts w:cs="Arial"/>
        </w:rPr>
        <w:t>, 20</w:t>
      </w:r>
      <w:r>
        <w:rPr>
          <w:rFonts w:eastAsiaTheme="minorEastAsia" w:cs="Arial" w:hint="eastAsia"/>
          <w:lang w:eastAsia="zh-CN"/>
        </w:rPr>
        <w:t>20</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b/>
      </w:r>
    </w:p>
    <w:p w:rsidR="003F6833" w:rsidRPr="006344FA"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6344FA">
        <w:rPr>
          <w:rFonts w:ascii="Arial" w:eastAsia="宋体" w:hAnsi="Arial" w:cs="Arial"/>
          <w:noProof/>
          <w:kern w:val="0"/>
          <w:sz w:val="22"/>
          <w:szCs w:val="22"/>
          <w:lang w:val="en-GB"/>
        </w:rPr>
        <w:t xml:space="preserve">  </w:t>
      </w:r>
      <w:r w:rsidRPr="006344FA">
        <w:rPr>
          <w:rFonts w:ascii="Arial" w:eastAsia="宋体" w:hAnsi="Arial" w:cs="Arial"/>
          <w:noProof/>
          <w:kern w:val="0"/>
          <w:sz w:val="22"/>
          <w:szCs w:val="22"/>
          <w:lang w:val="en-GB" w:eastAsia="en-US"/>
        </w:rPr>
        <w:t>Samsung</w:t>
      </w:r>
    </w:p>
    <w:p w:rsidR="00FF76F4"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BC684D">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197EF8" w:rsidRPr="006344FA">
        <w:rPr>
          <w:rFonts w:ascii="Arial" w:eastAsia="宋体" w:hAnsi="Arial" w:cs="Arial" w:hint="eastAsia"/>
          <w:noProof/>
          <w:kern w:val="0"/>
          <w:sz w:val="22"/>
          <w:lang w:val="en-GB"/>
        </w:rPr>
        <w:t xml:space="preserve"> </w:t>
      </w:r>
      <w:r w:rsidR="004A2586">
        <w:rPr>
          <w:rFonts w:ascii="Arial" w:eastAsia="宋体" w:hAnsi="Arial" w:cs="Arial"/>
          <w:noProof/>
          <w:kern w:val="0"/>
          <w:sz w:val="22"/>
          <w:lang w:val="en-GB"/>
        </w:rPr>
        <w:t xml:space="preserve">Further discusion on IAB-MT transmiter RF requirement </w:t>
      </w:r>
    </w:p>
    <w:p w:rsidR="008E1C42" w:rsidRPr="006344FA" w:rsidRDefault="008E1C42" w:rsidP="000F5165">
      <w:pPr>
        <w:jc w:val="left"/>
        <w:rPr>
          <w:rFonts w:ascii="Arial" w:eastAsia="宋体" w:hAnsi="Arial" w:cs="Arial"/>
          <w:noProof/>
          <w:kern w:val="0"/>
          <w:sz w:val="22"/>
          <w:lang w:val="en-GB"/>
        </w:rPr>
      </w:pPr>
      <w:r>
        <w:rPr>
          <w:rFonts w:ascii="Arial" w:eastAsia="宋体" w:hAnsi="Arial" w:cs="Arial"/>
          <w:b/>
          <w:noProof/>
          <w:kern w:val="0"/>
          <w:sz w:val="22"/>
          <w:lang w:val="en-GB"/>
        </w:rPr>
        <w:t xml:space="preserve">Agenda:      </w:t>
      </w:r>
      <w:r w:rsidR="00BC684D">
        <w:rPr>
          <w:rFonts w:ascii="Arial" w:eastAsia="宋体" w:hAnsi="Arial" w:cs="Arial"/>
          <w:b/>
          <w:noProof/>
          <w:kern w:val="0"/>
          <w:sz w:val="22"/>
          <w:lang w:val="en-GB"/>
        </w:rPr>
        <w:t xml:space="preserve"> </w:t>
      </w:r>
      <w:r w:rsidRPr="006344FA">
        <w:rPr>
          <w:rFonts w:ascii="Arial" w:eastAsia="宋体" w:hAnsi="Arial" w:cs="Arial"/>
          <w:noProof/>
          <w:kern w:val="0"/>
          <w:sz w:val="22"/>
          <w:lang w:val="en-GB"/>
        </w:rPr>
        <w:t xml:space="preserve"> 6.5.</w:t>
      </w:r>
      <w:r w:rsidR="00314493">
        <w:rPr>
          <w:rFonts w:ascii="Arial" w:eastAsia="宋体" w:hAnsi="Arial" w:cs="Arial"/>
          <w:noProof/>
          <w:kern w:val="0"/>
          <w:sz w:val="22"/>
          <w:lang w:val="en-GB"/>
        </w:rPr>
        <w:t>2.2.1</w:t>
      </w:r>
    </w:p>
    <w:p w:rsidR="00FF76F4" w:rsidRPr="006344FA"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sidRPr="006344FA">
        <w:rPr>
          <w:rFonts w:ascii="Arial" w:eastAsia="宋体" w:hAnsi="Arial" w:cs="Arial" w:hint="eastAsia"/>
          <w:noProof/>
          <w:kern w:val="0"/>
          <w:sz w:val="22"/>
          <w:szCs w:val="22"/>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C40C3D" w:rsidRPr="00627C0B" w:rsidRDefault="00A62FC5" w:rsidP="00C40C3D">
      <w:pPr>
        <w:rPr>
          <w:rFonts w:ascii="Calibri" w:hAnsi="Calibri" w:cs="Calibri"/>
          <w:sz w:val="20"/>
          <w:szCs w:val="20"/>
        </w:rPr>
      </w:pPr>
      <w:r w:rsidRPr="00627C0B">
        <w:rPr>
          <w:sz w:val="20"/>
          <w:szCs w:val="20"/>
        </w:rPr>
        <w:t>For IAB-MT transmitter RF requirement, there were quite a lot progress in past 2 e-meeting</w:t>
      </w:r>
      <w:r w:rsidR="00452554">
        <w:rPr>
          <w:sz w:val="20"/>
          <w:szCs w:val="20"/>
        </w:rPr>
        <w:t xml:space="preserve"> circles</w:t>
      </w:r>
      <w:r w:rsidRPr="00627C0B">
        <w:rPr>
          <w:sz w:val="20"/>
          <w:szCs w:val="20"/>
        </w:rPr>
        <w:t>.</w:t>
      </w:r>
      <w:r w:rsidR="00FA0560">
        <w:rPr>
          <w:sz w:val="20"/>
          <w:szCs w:val="20"/>
        </w:rPr>
        <w:t>[1][2][3]</w:t>
      </w:r>
      <w:r w:rsidRPr="00627C0B">
        <w:rPr>
          <w:sz w:val="20"/>
          <w:szCs w:val="20"/>
        </w:rPr>
        <w:t xml:space="preserve"> However, there are still many remaining issues expecting for further study. </w:t>
      </w:r>
      <w:r w:rsidR="00C40C3D" w:rsidRPr="00627C0B">
        <w:rPr>
          <w:rFonts w:ascii="Calibri" w:hAnsi="Calibri" w:cs="Calibri" w:hint="eastAsia"/>
          <w:sz w:val="20"/>
          <w:szCs w:val="20"/>
        </w:rPr>
        <w:t>T</w:t>
      </w:r>
      <w:r w:rsidR="00C40C3D" w:rsidRPr="00627C0B">
        <w:rPr>
          <w:rFonts w:ascii="Calibri" w:hAnsi="Calibri" w:cs="Calibri"/>
          <w:sz w:val="20"/>
          <w:szCs w:val="20"/>
        </w:rPr>
        <w:t xml:space="preserve">his contribution provides </w:t>
      </w:r>
      <w:r w:rsidR="00597DA7" w:rsidRPr="00627C0B">
        <w:rPr>
          <w:rFonts w:ascii="Calibri" w:hAnsi="Calibri" w:cs="Calibri"/>
          <w:sz w:val="20"/>
          <w:szCs w:val="20"/>
        </w:rPr>
        <w:t>views on</w:t>
      </w:r>
    </w:p>
    <w:p w:rsidR="00A62FC5" w:rsidRPr="00627C0B" w:rsidRDefault="00A62FC5" w:rsidP="00A62FC5">
      <w:pPr>
        <w:pStyle w:val="a5"/>
        <w:numPr>
          <w:ilvl w:val="0"/>
          <w:numId w:val="44"/>
        </w:numPr>
        <w:ind w:firstLineChars="0"/>
        <w:rPr>
          <w:rFonts w:ascii="Calibri" w:hAnsi="Calibri" w:cs="Calibri"/>
          <w:sz w:val="20"/>
          <w:szCs w:val="20"/>
        </w:rPr>
      </w:pPr>
      <w:r w:rsidRPr="00627C0B">
        <w:rPr>
          <w:rFonts w:ascii="Calibri" w:hAnsi="Calibri" w:cs="Calibri"/>
          <w:sz w:val="20"/>
          <w:szCs w:val="20"/>
        </w:rPr>
        <w:t xml:space="preserve">Maximum power related requirement </w:t>
      </w:r>
    </w:p>
    <w:p w:rsidR="00A62FC5" w:rsidRPr="00627C0B" w:rsidRDefault="00CD0760" w:rsidP="00A62FC5">
      <w:pPr>
        <w:pStyle w:val="a5"/>
        <w:numPr>
          <w:ilvl w:val="0"/>
          <w:numId w:val="44"/>
        </w:numPr>
        <w:ind w:firstLineChars="0"/>
        <w:rPr>
          <w:rFonts w:ascii="Calibri" w:hAnsi="Calibri" w:cs="Calibri"/>
          <w:sz w:val="20"/>
          <w:szCs w:val="20"/>
        </w:rPr>
      </w:pPr>
      <w:r w:rsidRPr="00627C0B">
        <w:rPr>
          <w:rFonts w:ascii="Calibri" w:hAnsi="Calibri" w:cs="Calibri" w:hint="eastAsia"/>
          <w:sz w:val="20"/>
          <w:szCs w:val="20"/>
        </w:rPr>
        <w:t>D</w:t>
      </w:r>
      <w:r w:rsidRPr="00627C0B">
        <w:rPr>
          <w:rFonts w:ascii="Calibri" w:hAnsi="Calibri" w:cs="Calibri"/>
          <w:sz w:val="20"/>
          <w:szCs w:val="20"/>
        </w:rPr>
        <w:t>ynamic range</w:t>
      </w:r>
    </w:p>
    <w:p w:rsidR="007E09FE" w:rsidRPr="00627C0B" w:rsidRDefault="007E09FE" w:rsidP="007E09FE">
      <w:pPr>
        <w:pStyle w:val="a5"/>
        <w:numPr>
          <w:ilvl w:val="0"/>
          <w:numId w:val="44"/>
        </w:numPr>
        <w:ind w:firstLineChars="0"/>
        <w:rPr>
          <w:rFonts w:ascii="Calibri" w:hAnsi="Calibri" w:cs="Calibri"/>
          <w:sz w:val="20"/>
          <w:szCs w:val="20"/>
        </w:rPr>
      </w:pPr>
      <w:r w:rsidRPr="00627C0B">
        <w:rPr>
          <w:rFonts w:ascii="Calibri" w:hAnsi="Calibri" w:cs="Calibri"/>
          <w:sz w:val="20"/>
          <w:szCs w:val="20"/>
        </w:rPr>
        <w:t xml:space="preserve">Unwanted emission </w:t>
      </w:r>
    </w:p>
    <w:p w:rsidR="00F02DC4" w:rsidRDefault="00C04282" w:rsidP="00DF4456">
      <w:pPr>
        <w:pStyle w:val="1"/>
        <w:rPr>
          <w:rFonts w:cs="Arial"/>
          <w:lang w:eastAsia="zh-CN"/>
        </w:rPr>
      </w:pPr>
      <w:r>
        <w:rPr>
          <w:rFonts w:cs="Arial"/>
          <w:lang w:eastAsia="zh-CN"/>
        </w:rPr>
        <w:t xml:space="preserve">Discussion </w:t>
      </w:r>
    </w:p>
    <w:p w:rsidR="008A3E27" w:rsidRPr="00E4397D" w:rsidRDefault="00FA0560" w:rsidP="008A3E27">
      <w:pPr>
        <w:rPr>
          <w:sz w:val="20"/>
          <w:szCs w:val="20"/>
        </w:rPr>
      </w:pPr>
      <w:r w:rsidRPr="008A76CD">
        <w:rPr>
          <w:sz w:val="20"/>
          <w:szCs w:val="20"/>
          <w:lang w:val="en-GB"/>
        </w:rPr>
        <w:t xml:space="preserve">In </w:t>
      </w:r>
      <w:r w:rsidR="008A3E27" w:rsidRPr="008A76CD">
        <w:rPr>
          <w:sz w:val="20"/>
          <w:szCs w:val="20"/>
          <w:lang w:val="en-GB"/>
        </w:rPr>
        <w:t>Nov</w:t>
      </w:r>
      <w:r w:rsidRPr="008A76CD">
        <w:rPr>
          <w:sz w:val="20"/>
          <w:szCs w:val="20"/>
          <w:lang w:val="en-GB"/>
        </w:rPr>
        <w:t xml:space="preserve"> year, the CR to TS38.213 on introduction of IAB was agreed in</w:t>
      </w:r>
      <w:r w:rsidR="008A3E27" w:rsidRPr="008A76CD">
        <w:rPr>
          <w:sz w:val="20"/>
          <w:szCs w:val="20"/>
          <w:lang w:val="en-GB"/>
        </w:rPr>
        <w:t xml:space="preserve"> </w:t>
      </w:r>
      <w:r w:rsidRPr="008A76CD">
        <w:rPr>
          <w:sz w:val="20"/>
          <w:szCs w:val="20"/>
          <w:lang w:val="en-GB"/>
        </w:rPr>
        <w:t xml:space="preserve">[4] </w:t>
      </w:r>
      <w:r w:rsidR="008A3E27" w:rsidRPr="008A76CD">
        <w:rPr>
          <w:sz w:val="20"/>
          <w:szCs w:val="20"/>
          <w:lang w:val="en-GB"/>
        </w:rPr>
        <w:t>with indication that “</w:t>
      </w:r>
      <w:r w:rsidR="008A3E27" w:rsidRPr="008A76CD">
        <w:rPr>
          <w:sz w:val="20"/>
          <w:szCs w:val="20"/>
        </w:rPr>
        <w:t xml:space="preserve">Throughout this specification, unless </w:t>
      </w:r>
      <w:r w:rsidR="008A3E27" w:rsidRPr="00E4397D">
        <w:rPr>
          <w:sz w:val="20"/>
          <w:szCs w:val="20"/>
        </w:rPr>
        <w:t>otherwise noted, statements using the term “UE” in clauses 4 through 13 are equally applicable to the IAB-node MT of an IAB node. “ Hence the IAB-MT the UL power control defined in TS38.213 should be applied as well. For PUSCH, PUCCH SRS</w:t>
      </w:r>
      <w:r w:rsidR="00E4397D">
        <w:rPr>
          <w:sz w:val="20"/>
          <w:szCs w:val="20"/>
        </w:rPr>
        <w:t xml:space="preserve"> </w:t>
      </w:r>
      <w:r w:rsidR="008A3E27" w:rsidRPr="00E4397D">
        <w:rPr>
          <w:sz w:val="20"/>
          <w:szCs w:val="20"/>
        </w:rPr>
        <w:t xml:space="preserve">and PRACH IAB-MT shall determine the output power based on corresponding formula on each PHY channel and SRS as below: </w:t>
      </w:r>
    </w:p>
    <w:tbl>
      <w:tblPr>
        <w:tblStyle w:val="a7"/>
        <w:tblW w:w="0" w:type="auto"/>
        <w:tblLook w:val="04A0" w:firstRow="1" w:lastRow="0" w:firstColumn="1" w:lastColumn="0" w:noHBand="0" w:noVBand="1"/>
      </w:tblPr>
      <w:tblGrid>
        <w:gridCol w:w="10456"/>
      </w:tblGrid>
      <w:tr w:rsidR="008A76CD" w:rsidRPr="00E4397D" w:rsidTr="008A76CD">
        <w:tc>
          <w:tcPr>
            <w:tcW w:w="10456" w:type="dxa"/>
          </w:tcPr>
          <w:p w:rsidR="008A76CD" w:rsidRPr="00E4397D" w:rsidRDefault="008A76CD" w:rsidP="008A76CD">
            <w:pPr>
              <w:rPr>
                <w:sz w:val="20"/>
                <w:szCs w:val="20"/>
              </w:rPr>
            </w:pPr>
            <w:r w:rsidRPr="00E4397D">
              <w:rPr>
                <w:noProof/>
                <w:position w:val="-32"/>
                <w:sz w:val="20"/>
                <w:szCs w:val="20"/>
              </w:rPr>
              <w:drawing>
                <wp:inline distT="0" distB="0" distL="0" distR="0" wp14:anchorId="7640C09C" wp14:editId="2D2A273F">
                  <wp:extent cx="5857875" cy="461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875" cy="461645"/>
                          </a:xfrm>
                          <a:prstGeom prst="rect">
                            <a:avLst/>
                          </a:prstGeom>
                          <a:noFill/>
                          <a:ln>
                            <a:noFill/>
                          </a:ln>
                        </pic:spPr>
                      </pic:pic>
                    </a:graphicData>
                  </a:graphic>
                </wp:inline>
              </w:drawing>
            </w:r>
            <w:r w:rsidRPr="00E4397D">
              <w:rPr>
                <w:rFonts w:hint="eastAsia"/>
                <w:sz w:val="20"/>
                <w:szCs w:val="20"/>
              </w:rPr>
              <w:t>d</w:t>
            </w:r>
            <w:r w:rsidRPr="00E4397D">
              <w:rPr>
                <w:sz w:val="20"/>
                <w:szCs w:val="20"/>
              </w:rPr>
              <w:t>Bm</w:t>
            </w:r>
          </w:p>
          <w:p w:rsidR="008A76CD" w:rsidRPr="00E4397D" w:rsidRDefault="008A76CD" w:rsidP="008A76CD">
            <w:pPr>
              <w:rPr>
                <w:sz w:val="20"/>
                <w:szCs w:val="20"/>
              </w:rPr>
            </w:pPr>
            <w:r w:rsidRPr="00E4397D">
              <w:rPr>
                <w:noProof/>
                <w:position w:val="-32"/>
                <w:sz w:val="20"/>
                <w:szCs w:val="20"/>
              </w:rPr>
              <w:drawing>
                <wp:inline distT="0" distB="0" distL="0" distR="0" wp14:anchorId="4530580E" wp14:editId="6AAEE574">
                  <wp:extent cx="6120130" cy="4616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461645"/>
                          </a:xfrm>
                          <a:prstGeom prst="rect">
                            <a:avLst/>
                          </a:prstGeom>
                          <a:noFill/>
                          <a:ln>
                            <a:noFill/>
                          </a:ln>
                        </pic:spPr>
                      </pic:pic>
                    </a:graphicData>
                  </a:graphic>
                </wp:inline>
              </w:drawing>
            </w:r>
            <w:r w:rsidRPr="00E4397D">
              <w:rPr>
                <w:rFonts w:hint="eastAsia"/>
                <w:sz w:val="20"/>
                <w:szCs w:val="20"/>
              </w:rPr>
              <w:t>d</w:t>
            </w:r>
            <w:r w:rsidRPr="00E4397D">
              <w:rPr>
                <w:sz w:val="20"/>
                <w:szCs w:val="20"/>
              </w:rPr>
              <w:t>Bm</w:t>
            </w:r>
          </w:p>
          <w:p w:rsidR="008A76CD" w:rsidRPr="00E4397D" w:rsidRDefault="008A76CD" w:rsidP="008A76CD">
            <w:pPr>
              <w:rPr>
                <w:sz w:val="20"/>
                <w:szCs w:val="20"/>
              </w:rPr>
            </w:pPr>
            <w:r w:rsidRPr="00E4397D">
              <w:rPr>
                <w:noProof/>
                <w:position w:val="-32"/>
                <w:sz w:val="20"/>
                <w:szCs w:val="20"/>
              </w:rPr>
              <w:drawing>
                <wp:inline distT="0" distB="0" distL="0" distR="0" wp14:anchorId="52A58136" wp14:editId="325AC7F0">
                  <wp:extent cx="5296535" cy="4616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6535" cy="461645"/>
                          </a:xfrm>
                          <a:prstGeom prst="rect">
                            <a:avLst/>
                          </a:prstGeom>
                          <a:noFill/>
                          <a:ln>
                            <a:noFill/>
                          </a:ln>
                        </pic:spPr>
                      </pic:pic>
                    </a:graphicData>
                  </a:graphic>
                </wp:inline>
              </w:drawing>
            </w:r>
            <w:r w:rsidRPr="00E4397D">
              <w:rPr>
                <w:sz w:val="20"/>
                <w:szCs w:val="20"/>
              </w:rPr>
              <w:t xml:space="preserve"> dBm</w:t>
            </w:r>
          </w:p>
          <w:p w:rsidR="008A76CD" w:rsidRPr="00E4397D" w:rsidRDefault="008A76CD" w:rsidP="008A76CD">
            <w:pPr>
              <w:rPr>
                <w:sz w:val="20"/>
                <w:szCs w:val="20"/>
              </w:rPr>
            </w:pPr>
            <w:r w:rsidRPr="00E4397D">
              <w:rPr>
                <w:noProof/>
                <w:position w:val="-12"/>
                <w:sz w:val="20"/>
                <w:szCs w:val="20"/>
              </w:rPr>
              <w:drawing>
                <wp:inline distT="0" distB="0" distL="0" distR="0" wp14:anchorId="5FB51B6D" wp14:editId="41EA0B40">
                  <wp:extent cx="3023870" cy="280670"/>
                  <wp:effectExtent l="0" t="0" r="508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3870" cy="280670"/>
                          </a:xfrm>
                          <a:prstGeom prst="rect">
                            <a:avLst/>
                          </a:prstGeom>
                          <a:noFill/>
                          <a:ln>
                            <a:noFill/>
                          </a:ln>
                        </pic:spPr>
                      </pic:pic>
                    </a:graphicData>
                  </a:graphic>
                </wp:inline>
              </w:drawing>
            </w:r>
            <w:r w:rsidRPr="00E4397D">
              <w:rPr>
                <w:rFonts w:hint="eastAsia"/>
                <w:sz w:val="20"/>
                <w:szCs w:val="20"/>
              </w:rPr>
              <w:t>d</w:t>
            </w:r>
            <w:r w:rsidRPr="00E4397D">
              <w:rPr>
                <w:sz w:val="20"/>
                <w:szCs w:val="20"/>
              </w:rPr>
              <w:t>Bm</w:t>
            </w:r>
          </w:p>
        </w:tc>
      </w:tr>
    </w:tbl>
    <w:p w:rsidR="008A3E27" w:rsidRPr="00E4397D" w:rsidRDefault="008A3E27" w:rsidP="00FA0560">
      <w:pPr>
        <w:rPr>
          <w:sz w:val="20"/>
          <w:szCs w:val="20"/>
        </w:rPr>
      </w:pPr>
    </w:p>
    <w:p w:rsidR="008A3E27" w:rsidRPr="00E4397D" w:rsidRDefault="008A3E27" w:rsidP="00FA0560">
      <w:pPr>
        <w:rPr>
          <w:sz w:val="20"/>
          <w:szCs w:val="20"/>
        </w:rPr>
      </w:pPr>
      <w:r w:rsidRPr="00E4397D">
        <w:rPr>
          <w:b/>
          <w:sz w:val="20"/>
          <w:szCs w:val="20"/>
        </w:rPr>
        <w:t>Observation 1</w:t>
      </w:r>
      <w:r w:rsidRPr="00E4397D">
        <w:rPr>
          <w:sz w:val="20"/>
          <w:szCs w:val="20"/>
        </w:rPr>
        <w:t xml:space="preserve">: The UL transmission power level of IAB-MT shall follow the same </w:t>
      </w:r>
      <w:r w:rsidR="00B87A0D" w:rsidRPr="00E4397D">
        <w:rPr>
          <w:sz w:val="20"/>
          <w:szCs w:val="20"/>
        </w:rPr>
        <w:t>behavior as UE as defined in TS28.213</w:t>
      </w:r>
    </w:p>
    <w:p w:rsidR="008A3E27" w:rsidRPr="00E4397D" w:rsidRDefault="008A3E27" w:rsidP="00FA0560">
      <w:pPr>
        <w:rPr>
          <w:sz w:val="20"/>
          <w:szCs w:val="20"/>
        </w:rPr>
      </w:pPr>
      <w:r w:rsidRPr="00E4397D">
        <w:rPr>
          <w:b/>
          <w:sz w:val="20"/>
          <w:szCs w:val="20"/>
        </w:rPr>
        <w:t>Observation 2</w:t>
      </w:r>
      <w:r w:rsidRPr="00E4397D">
        <w:rPr>
          <w:sz w:val="20"/>
          <w:szCs w:val="20"/>
        </w:rPr>
        <w:t xml:space="preserve">: </w:t>
      </w:r>
      <w:r w:rsidR="00B87A0D" w:rsidRPr="00E4397D">
        <w:rPr>
          <w:sz w:val="20"/>
          <w:szCs w:val="20"/>
        </w:rPr>
        <w:t>Pcmax is address in each formula to determine the UL transmitted power</w:t>
      </w:r>
    </w:p>
    <w:p w:rsidR="00F92C3E" w:rsidRPr="00E4397D" w:rsidRDefault="00F92C3E" w:rsidP="00FA0560">
      <w:pPr>
        <w:rPr>
          <w:sz w:val="20"/>
          <w:szCs w:val="20"/>
        </w:rPr>
      </w:pPr>
    </w:p>
    <w:p w:rsidR="00F92C3E" w:rsidRPr="00E4397D" w:rsidRDefault="00F92C3E" w:rsidP="00F92C3E">
      <w:pPr>
        <w:rPr>
          <w:sz w:val="20"/>
          <w:szCs w:val="20"/>
        </w:rPr>
      </w:pPr>
      <w:r w:rsidRPr="00E4397D">
        <w:rPr>
          <w:rFonts w:ascii="Calibri" w:hAnsi="Calibri" w:cs="Calibri"/>
          <w:sz w:val="20"/>
          <w:szCs w:val="20"/>
        </w:rPr>
        <w:t xml:space="preserve">Based on above observations, we believe that certain mechanism should be introduced to ensure the Parent IAB and/or Donor gNB aware the power capability of Child IAB-MT as basic operating point. And the MRP/AMPR should be still allowed at least for Local Area IAB-MT class. Furthermore, Pcmax should be defined accordingly. Considering limited time left for this Rel-16 WI, it is proposed to reuse corresponding UE requirement as baseline. But anyway to define the power reduction is allowed but is not mandatory for IAB-MT to have. Hence there is no additional burden/effort requested for IAB-MT, including Wide Area IAB-MT class, of which the power reduction may not be requested. </w:t>
      </w:r>
    </w:p>
    <w:p w:rsidR="00F92C3E" w:rsidRPr="00E4397D" w:rsidRDefault="00F92C3E" w:rsidP="00F92C3E">
      <w:pPr>
        <w:rPr>
          <w:sz w:val="20"/>
          <w:szCs w:val="20"/>
        </w:rPr>
      </w:pPr>
      <w:r w:rsidRPr="00E4397D">
        <w:rPr>
          <w:b/>
          <w:sz w:val="20"/>
          <w:szCs w:val="20"/>
        </w:rPr>
        <w:t>Proposal 1</w:t>
      </w:r>
      <w:r w:rsidRPr="00E4397D">
        <w:rPr>
          <w:sz w:val="20"/>
          <w:szCs w:val="20"/>
        </w:rPr>
        <w:t>: 3GPP should enable the mechanism to make Parent IAB and Donor gNB aware the power capability of Child IAB-MT.</w:t>
      </w:r>
    </w:p>
    <w:p w:rsidR="00F92C3E" w:rsidRPr="00E4397D" w:rsidRDefault="00F92C3E" w:rsidP="00F92C3E">
      <w:pPr>
        <w:rPr>
          <w:sz w:val="20"/>
          <w:szCs w:val="20"/>
        </w:rPr>
      </w:pPr>
      <w:r w:rsidRPr="00E4397D">
        <w:rPr>
          <w:b/>
          <w:sz w:val="20"/>
          <w:szCs w:val="20"/>
        </w:rPr>
        <w:t>Proposal 2</w:t>
      </w:r>
      <w:r w:rsidRPr="00E4397D">
        <w:rPr>
          <w:sz w:val="20"/>
          <w:szCs w:val="20"/>
        </w:rPr>
        <w:t>: Pcmax shall be defined for IAB-MT</w:t>
      </w:r>
    </w:p>
    <w:p w:rsidR="00F92C3E" w:rsidRPr="00E4397D" w:rsidRDefault="00F92C3E" w:rsidP="00F92C3E">
      <w:pPr>
        <w:rPr>
          <w:sz w:val="20"/>
          <w:szCs w:val="20"/>
        </w:rPr>
      </w:pPr>
      <w:r w:rsidRPr="00E4397D">
        <w:rPr>
          <w:b/>
          <w:sz w:val="20"/>
          <w:szCs w:val="20"/>
        </w:rPr>
        <w:t>Proposal 3</w:t>
      </w:r>
      <w:r w:rsidRPr="00E4397D">
        <w:rPr>
          <w:sz w:val="20"/>
          <w:szCs w:val="20"/>
        </w:rPr>
        <w:t>: UE-liked Pcmax definition associated with MPR/AMPR should be taken as starting point for IAB-MT definition.</w:t>
      </w:r>
    </w:p>
    <w:p w:rsidR="00B87A0D" w:rsidRPr="00E4397D" w:rsidRDefault="00B87A0D" w:rsidP="00FA0560">
      <w:pPr>
        <w:rPr>
          <w:sz w:val="20"/>
          <w:szCs w:val="20"/>
        </w:rPr>
      </w:pPr>
    </w:p>
    <w:p w:rsidR="008A76CD" w:rsidRPr="00E4397D" w:rsidRDefault="00B87A0D" w:rsidP="008A76CD">
      <w:pPr>
        <w:rPr>
          <w:sz w:val="20"/>
          <w:szCs w:val="20"/>
        </w:rPr>
      </w:pPr>
      <w:r w:rsidRPr="00E4397D">
        <w:rPr>
          <w:sz w:val="20"/>
          <w:szCs w:val="20"/>
        </w:rPr>
        <w:t xml:space="preserve">Furthermore, according to outcome on PHY IAB-MT feature discussion captured in [5] the working assumption for FG”8-3 Basic </w:t>
      </w:r>
      <w:r w:rsidRPr="00E4397D">
        <w:rPr>
          <w:sz w:val="20"/>
          <w:szCs w:val="20"/>
        </w:rPr>
        <w:lastRenderedPageBreak/>
        <w:t>power control operation” is mandato</w:t>
      </w:r>
      <w:r w:rsidR="008A76CD" w:rsidRPr="00E4397D">
        <w:rPr>
          <w:sz w:val="20"/>
          <w:szCs w:val="20"/>
        </w:rPr>
        <w:t>ry at least for</w:t>
      </w:r>
      <w:r w:rsidRPr="00E4397D">
        <w:rPr>
          <w:sz w:val="20"/>
          <w:szCs w:val="20"/>
        </w:rPr>
        <w:t xml:space="preserve"> Wide Area IAB-MT. </w:t>
      </w:r>
      <w:r w:rsidR="008A76CD" w:rsidRPr="00E4397D">
        <w:rPr>
          <w:sz w:val="20"/>
          <w:szCs w:val="20"/>
        </w:rPr>
        <w:t xml:space="preserve">Hence Basic power control operation is expected to be still mandatory feature for IAB-MT at least for Wide Area Class. </w:t>
      </w:r>
    </w:p>
    <w:p w:rsidR="00B87A0D" w:rsidRPr="00E4397D" w:rsidRDefault="008A76CD" w:rsidP="00FA0560">
      <w:pPr>
        <w:rPr>
          <w:sz w:val="20"/>
          <w:szCs w:val="20"/>
        </w:rPr>
      </w:pPr>
      <w:r w:rsidRPr="00E4397D">
        <w:rPr>
          <w:sz w:val="20"/>
          <w:szCs w:val="20"/>
        </w:rPr>
        <w:t>From system performance perspective, power control is also necessary to maintain a specific link level and to control inter-cell interference according to co-existence study.</w:t>
      </w:r>
      <w:r w:rsidR="005D3272" w:rsidRPr="00E4397D">
        <w:rPr>
          <w:sz w:val="20"/>
          <w:szCs w:val="20"/>
        </w:rPr>
        <w:t xml:space="preserve"> In open loop power control, it’s assumed that IAB-MT can determine its output power level based on P0 and PL estimated by IAB-MT reception.</w:t>
      </w:r>
      <w:r w:rsidRPr="00E4397D">
        <w:rPr>
          <w:sz w:val="20"/>
          <w:szCs w:val="20"/>
        </w:rPr>
        <w:t xml:space="preserve"> With the capability of closed loop power control BS will assume that IAB-MT </w:t>
      </w:r>
      <w:r w:rsidR="005D3272" w:rsidRPr="00E4397D">
        <w:rPr>
          <w:sz w:val="20"/>
          <w:szCs w:val="20"/>
        </w:rPr>
        <w:t xml:space="preserve">can </w:t>
      </w:r>
      <w:r w:rsidRPr="00E4397D">
        <w:rPr>
          <w:sz w:val="20"/>
          <w:szCs w:val="20"/>
        </w:rPr>
        <w:t xml:space="preserve">adjust it output power according to BS command based on monitoring the UL link quality.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851"/>
        <w:gridCol w:w="5820"/>
      </w:tblGrid>
      <w:tr w:rsidR="00B87A0D" w:rsidRPr="00E4397D" w:rsidTr="008A76CD">
        <w:trPr>
          <w:jc w:val="center"/>
        </w:trPr>
        <w:tc>
          <w:tcPr>
            <w:tcW w:w="0" w:type="auto"/>
          </w:tcPr>
          <w:p w:rsidR="00B87A0D" w:rsidRPr="00E4397D" w:rsidRDefault="00B87A0D" w:rsidP="00C16681">
            <w:pPr>
              <w:pStyle w:val="TAL"/>
              <w:rPr>
                <w:sz w:val="20"/>
              </w:rPr>
            </w:pPr>
            <w:r w:rsidRPr="00E4397D">
              <w:rPr>
                <w:sz w:val="20"/>
              </w:rPr>
              <w:t>8-3</w:t>
            </w:r>
          </w:p>
        </w:tc>
        <w:tc>
          <w:tcPr>
            <w:tcW w:w="0" w:type="auto"/>
          </w:tcPr>
          <w:p w:rsidR="00B87A0D" w:rsidRPr="00E4397D" w:rsidRDefault="00B87A0D" w:rsidP="00C16681">
            <w:pPr>
              <w:pStyle w:val="TAL"/>
              <w:rPr>
                <w:sz w:val="20"/>
              </w:rPr>
            </w:pPr>
            <w:r w:rsidRPr="00E4397D">
              <w:rPr>
                <w:sz w:val="20"/>
              </w:rPr>
              <w:t>Basic power control operation</w:t>
            </w:r>
          </w:p>
        </w:tc>
        <w:tc>
          <w:tcPr>
            <w:tcW w:w="0" w:type="auto"/>
          </w:tcPr>
          <w:p w:rsidR="00B87A0D" w:rsidRPr="00E4397D" w:rsidRDefault="00B87A0D" w:rsidP="00C16681">
            <w:pPr>
              <w:pStyle w:val="TAL"/>
              <w:rPr>
                <w:sz w:val="20"/>
              </w:rPr>
            </w:pPr>
            <w:r w:rsidRPr="00E4397D">
              <w:rPr>
                <w:sz w:val="20"/>
              </w:rPr>
              <w:t>1) Accumulated power control mode for closed loop</w:t>
            </w:r>
          </w:p>
          <w:p w:rsidR="00B87A0D" w:rsidRPr="00E4397D" w:rsidRDefault="00B87A0D" w:rsidP="00C16681">
            <w:pPr>
              <w:pStyle w:val="TAL"/>
              <w:rPr>
                <w:sz w:val="20"/>
              </w:rPr>
            </w:pPr>
            <w:r w:rsidRPr="00E4397D">
              <w:rPr>
                <w:sz w:val="20"/>
              </w:rPr>
              <w:t>2) 1 TPC command loop for PUSCH, PUCCH respectively</w:t>
            </w:r>
          </w:p>
          <w:p w:rsidR="00B87A0D" w:rsidRPr="00E4397D" w:rsidRDefault="00B87A0D" w:rsidP="00C16681">
            <w:pPr>
              <w:pStyle w:val="TAL"/>
              <w:rPr>
                <w:sz w:val="20"/>
              </w:rPr>
            </w:pPr>
            <w:r w:rsidRPr="00E4397D">
              <w:rPr>
                <w:sz w:val="20"/>
              </w:rPr>
              <w:t>3) One or multiple DL RS configured for pathloss estimation</w:t>
            </w:r>
          </w:p>
          <w:p w:rsidR="00B87A0D" w:rsidRPr="00E4397D" w:rsidRDefault="00B87A0D" w:rsidP="00C16681">
            <w:pPr>
              <w:pStyle w:val="TAL"/>
              <w:rPr>
                <w:sz w:val="20"/>
              </w:rPr>
            </w:pPr>
            <w:r w:rsidRPr="00E4397D">
              <w:rPr>
                <w:sz w:val="20"/>
              </w:rPr>
              <w:t>4) One or multiple p0-alpha values configured for open loop PC</w:t>
            </w:r>
          </w:p>
          <w:p w:rsidR="00B87A0D" w:rsidRPr="00E4397D" w:rsidRDefault="00B87A0D" w:rsidP="00C16681">
            <w:pPr>
              <w:pStyle w:val="TAL"/>
              <w:rPr>
                <w:sz w:val="20"/>
              </w:rPr>
            </w:pPr>
            <w:r w:rsidRPr="00E4397D">
              <w:rPr>
                <w:sz w:val="20"/>
              </w:rPr>
              <w:t xml:space="preserve">5) PUSCH power control </w:t>
            </w:r>
          </w:p>
          <w:p w:rsidR="00B87A0D" w:rsidRPr="00E4397D" w:rsidRDefault="00B87A0D" w:rsidP="00C16681">
            <w:pPr>
              <w:pStyle w:val="TAL"/>
              <w:rPr>
                <w:sz w:val="20"/>
              </w:rPr>
            </w:pPr>
            <w:r w:rsidRPr="00E4397D">
              <w:rPr>
                <w:sz w:val="20"/>
              </w:rPr>
              <w:t xml:space="preserve">6) PUCCH power control </w:t>
            </w:r>
          </w:p>
          <w:p w:rsidR="00B87A0D" w:rsidRPr="00E4397D" w:rsidRDefault="00B87A0D" w:rsidP="00C16681">
            <w:pPr>
              <w:pStyle w:val="TAL"/>
              <w:rPr>
                <w:sz w:val="20"/>
              </w:rPr>
            </w:pPr>
            <w:r w:rsidRPr="00E4397D">
              <w:rPr>
                <w:sz w:val="20"/>
              </w:rPr>
              <w:t>7) PRACH power control</w:t>
            </w:r>
          </w:p>
          <w:p w:rsidR="00B87A0D" w:rsidRPr="00E4397D" w:rsidRDefault="00B87A0D" w:rsidP="00C16681">
            <w:pPr>
              <w:pStyle w:val="TAL"/>
              <w:rPr>
                <w:sz w:val="20"/>
              </w:rPr>
            </w:pPr>
            <w:r w:rsidRPr="00E4397D">
              <w:rPr>
                <w:sz w:val="20"/>
              </w:rPr>
              <w:t xml:space="preserve">8) SRS power control </w:t>
            </w:r>
          </w:p>
          <w:p w:rsidR="00B87A0D" w:rsidRPr="00E4397D" w:rsidRDefault="00B87A0D" w:rsidP="00C16681">
            <w:pPr>
              <w:pStyle w:val="TAL"/>
              <w:rPr>
                <w:sz w:val="20"/>
              </w:rPr>
            </w:pPr>
            <w:r w:rsidRPr="00E4397D">
              <w:rPr>
                <w:sz w:val="20"/>
              </w:rPr>
              <w:t>9) PHR</w:t>
            </w:r>
          </w:p>
        </w:tc>
      </w:tr>
    </w:tbl>
    <w:p w:rsidR="009D5BBB" w:rsidRPr="00E4397D" w:rsidRDefault="009D5BBB" w:rsidP="009D5BBB">
      <w:pPr>
        <w:rPr>
          <w:sz w:val="20"/>
          <w:szCs w:val="20"/>
        </w:rPr>
      </w:pPr>
      <w:r w:rsidRPr="00E4397D">
        <w:rPr>
          <w:b/>
          <w:sz w:val="20"/>
          <w:szCs w:val="20"/>
        </w:rPr>
        <w:t>Observation 3</w:t>
      </w:r>
      <w:r w:rsidRPr="00E4397D">
        <w:rPr>
          <w:sz w:val="20"/>
          <w:szCs w:val="20"/>
        </w:rPr>
        <w:t xml:space="preserve">: Basic power control operation is expected to be still mandatory feature for IAB-MT at least for Wide Area Class. </w:t>
      </w:r>
    </w:p>
    <w:p w:rsidR="00B87A0D" w:rsidRPr="00E4397D" w:rsidRDefault="009D5BBB" w:rsidP="00FA0560">
      <w:pPr>
        <w:rPr>
          <w:sz w:val="20"/>
          <w:szCs w:val="20"/>
        </w:rPr>
      </w:pPr>
      <w:r w:rsidRPr="00E4397D">
        <w:rPr>
          <w:rFonts w:hint="eastAsia"/>
          <w:b/>
          <w:sz w:val="20"/>
          <w:szCs w:val="20"/>
        </w:rPr>
        <w:t>O</w:t>
      </w:r>
      <w:r w:rsidRPr="00E4397D">
        <w:rPr>
          <w:b/>
          <w:sz w:val="20"/>
          <w:szCs w:val="20"/>
        </w:rPr>
        <w:t>bservation 4</w:t>
      </w:r>
      <w:r w:rsidRPr="00E4397D">
        <w:rPr>
          <w:sz w:val="20"/>
          <w:szCs w:val="20"/>
        </w:rPr>
        <w:t xml:space="preserve">: Parent IAB or Donor gNB will assume child IAB-MT can properly configure and adjust its UL output power level. </w:t>
      </w:r>
    </w:p>
    <w:p w:rsidR="00F653F5" w:rsidRPr="00E4397D" w:rsidRDefault="00F653F5" w:rsidP="00F92C3E">
      <w:pPr>
        <w:rPr>
          <w:rFonts w:ascii="Calibri" w:hAnsi="Calibri" w:cs="Calibri"/>
          <w:sz w:val="20"/>
          <w:szCs w:val="20"/>
        </w:rPr>
      </w:pPr>
    </w:p>
    <w:p w:rsidR="00F92C3E" w:rsidRPr="00E4397D" w:rsidRDefault="00F92C3E" w:rsidP="00F92C3E">
      <w:pPr>
        <w:rPr>
          <w:rFonts w:ascii="Calibri" w:hAnsi="Calibri" w:cs="Calibri"/>
          <w:sz w:val="20"/>
          <w:szCs w:val="20"/>
        </w:rPr>
      </w:pPr>
      <w:r w:rsidRPr="00E4397D">
        <w:rPr>
          <w:rFonts w:ascii="Calibri" w:hAnsi="Calibri" w:cs="Calibri" w:hint="eastAsia"/>
          <w:sz w:val="20"/>
          <w:szCs w:val="20"/>
        </w:rPr>
        <w:t>H</w:t>
      </w:r>
      <w:r w:rsidRPr="00E4397D">
        <w:rPr>
          <w:rFonts w:ascii="Calibri" w:hAnsi="Calibri" w:cs="Calibri"/>
          <w:sz w:val="20"/>
          <w:szCs w:val="20"/>
        </w:rPr>
        <w:t xml:space="preserve">ence it is not seen the use case for IAB-MT to comply with TX total power dynamic range” which is for BS assumed as always equal PSD within DL system channel bandwidth. </w:t>
      </w:r>
      <w:r w:rsidR="007F625D" w:rsidRPr="00E4397D">
        <w:rPr>
          <w:rFonts w:ascii="Calibri" w:hAnsi="Calibri" w:cs="Calibri"/>
          <w:sz w:val="20"/>
          <w:szCs w:val="20"/>
        </w:rPr>
        <w:t xml:space="preserve">Rather than this, corresponding UE power control requirement as below should be adopted by IAB-MT at least for Wide Area IAB-MT. </w:t>
      </w:r>
    </w:p>
    <w:p w:rsidR="007F625D" w:rsidRPr="00E4397D" w:rsidRDefault="007F625D" w:rsidP="007F625D">
      <w:pPr>
        <w:pStyle w:val="a5"/>
        <w:numPr>
          <w:ilvl w:val="0"/>
          <w:numId w:val="46"/>
        </w:numPr>
        <w:overflowPunct w:val="0"/>
        <w:autoSpaceDE w:val="0"/>
        <w:autoSpaceDN w:val="0"/>
        <w:adjustRightInd w:val="0"/>
        <w:ind w:left="1497"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Absolute power control</w:t>
      </w:r>
    </w:p>
    <w:p w:rsidR="007F625D" w:rsidRPr="00E4397D" w:rsidRDefault="007F625D" w:rsidP="007F625D">
      <w:pPr>
        <w:pStyle w:val="a5"/>
        <w:numPr>
          <w:ilvl w:val="0"/>
          <w:numId w:val="46"/>
        </w:numPr>
        <w:overflowPunct w:val="0"/>
        <w:autoSpaceDE w:val="0"/>
        <w:autoSpaceDN w:val="0"/>
        <w:adjustRightInd w:val="0"/>
        <w:ind w:left="1497"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 xml:space="preserve">Relative power control </w:t>
      </w:r>
    </w:p>
    <w:p w:rsidR="007F625D" w:rsidRPr="00E4397D" w:rsidRDefault="007F625D" w:rsidP="007F625D">
      <w:pPr>
        <w:pStyle w:val="a5"/>
        <w:numPr>
          <w:ilvl w:val="0"/>
          <w:numId w:val="46"/>
        </w:numPr>
        <w:overflowPunct w:val="0"/>
        <w:autoSpaceDE w:val="0"/>
        <w:autoSpaceDN w:val="0"/>
        <w:adjustRightInd w:val="0"/>
        <w:ind w:left="1497"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 xml:space="preserve">Aggregated power control </w:t>
      </w:r>
    </w:p>
    <w:p w:rsidR="007F625D" w:rsidRPr="00E4397D" w:rsidRDefault="007F625D" w:rsidP="00F92C3E">
      <w:pPr>
        <w:rPr>
          <w:rFonts w:ascii="Calibri" w:hAnsi="Calibri" w:cs="Calibri"/>
          <w:sz w:val="20"/>
          <w:szCs w:val="20"/>
        </w:rPr>
      </w:pPr>
    </w:p>
    <w:p w:rsidR="007F625D" w:rsidRPr="00E4397D" w:rsidRDefault="007F625D" w:rsidP="00F92C3E">
      <w:pPr>
        <w:rPr>
          <w:rFonts w:ascii="Calibri" w:hAnsi="Calibri" w:cs="Calibri"/>
          <w:sz w:val="20"/>
          <w:szCs w:val="20"/>
        </w:rPr>
      </w:pPr>
      <w:r w:rsidRPr="00E4397D">
        <w:rPr>
          <w:rFonts w:ascii="Calibri" w:hAnsi="Calibri" w:cs="Calibri"/>
          <w:b/>
          <w:sz w:val="20"/>
          <w:szCs w:val="20"/>
        </w:rPr>
        <w:t xml:space="preserve">Proposal </w:t>
      </w:r>
      <w:r w:rsidR="001214BC" w:rsidRPr="00E4397D">
        <w:rPr>
          <w:rFonts w:ascii="Calibri" w:hAnsi="Calibri" w:cs="Calibri"/>
          <w:b/>
          <w:sz w:val="20"/>
          <w:szCs w:val="20"/>
        </w:rPr>
        <w:t>4</w:t>
      </w:r>
      <w:r w:rsidRPr="00E4397D">
        <w:rPr>
          <w:rFonts w:ascii="Calibri" w:hAnsi="Calibri" w:cs="Calibri"/>
          <w:sz w:val="20"/>
          <w:szCs w:val="20"/>
        </w:rPr>
        <w:t xml:space="preserve">: IAB-MT shall be capable to adjust it output power </w:t>
      </w:r>
      <w:r w:rsidR="00E512ED" w:rsidRPr="00E4397D">
        <w:rPr>
          <w:rFonts w:ascii="Calibri" w:hAnsi="Calibri" w:cs="Calibri"/>
          <w:sz w:val="20"/>
          <w:szCs w:val="20"/>
        </w:rPr>
        <w:t>to maintain</w:t>
      </w:r>
      <w:r w:rsidRPr="00E4397D">
        <w:rPr>
          <w:rFonts w:ascii="Calibri" w:hAnsi="Calibri" w:cs="Calibri"/>
          <w:sz w:val="20"/>
          <w:szCs w:val="20"/>
        </w:rPr>
        <w:t xml:space="preserve"> </w:t>
      </w:r>
      <w:r w:rsidR="00E512ED" w:rsidRPr="00E4397D">
        <w:rPr>
          <w:rFonts w:ascii="Calibri" w:hAnsi="Calibri" w:cs="Calibri"/>
          <w:sz w:val="20"/>
          <w:szCs w:val="20"/>
        </w:rPr>
        <w:t xml:space="preserve">backhaul link </w:t>
      </w:r>
      <w:r w:rsidRPr="00E4397D">
        <w:rPr>
          <w:rFonts w:ascii="Calibri" w:hAnsi="Calibri" w:cs="Calibri"/>
          <w:sz w:val="20"/>
          <w:szCs w:val="20"/>
        </w:rPr>
        <w:t xml:space="preserve">quality. </w:t>
      </w:r>
    </w:p>
    <w:p w:rsidR="00382E66" w:rsidRPr="00E4397D" w:rsidRDefault="007F625D" w:rsidP="007F625D">
      <w:pPr>
        <w:rPr>
          <w:rFonts w:ascii="Calibri" w:hAnsi="Calibri" w:cs="Calibri"/>
          <w:sz w:val="20"/>
          <w:szCs w:val="20"/>
        </w:rPr>
      </w:pPr>
      <w:r w:rsidRPr="00E4397D">
        <w:rPr>
          <w:rFonts w:ascii="Calibri" w:hAnsi="Calibri" w:cs="Calibri"/>
          <w:b/>
          <w:sz w:val="20"/>
          <w:szCs w:val="20"/>
        </w:rPr>
        <w:t xml:space="preserve">Proposal </w:t>
      </w:r>
      <w:r w:rsidR="001214BC" w:rsidRPr="00E4397D">
        <w:rPr>
          <w:rFonts w:ascii="Calibri" w:hAnsi="Calibri" w:cs="Calibri"/>
          <w:b/>
          <w:sz w:val="20"/>
          <w:szCs w:val="20"/>
        </w:rPr>
        <w:t>5</w:t>
      </w:r>
      <w:r w:rsidRPr="00E4397D">
        <w:rPr>
          <w:rFonts w:ascii="Calibri" w:hAnsi="Calibri" w:cs="Calibri"/>
          <w:sz w:val="20"/>
          <w:szCs w:val="20"/>
        </w:rPr>
        <w:t xml:space="preserve">: </w:t>
      </w:r>
      <w:r w:rsidR="00E512ED" w:rsidRPr="00E4397D">
        <w:rPr>
          <w:rFonts w:ascii="Calibri" w:hAnsi="Calibri" w:cs="Calibri"/>
          <w:sz w:val="20"/>
          <w:szCs w:val="20"/>
        </w:rPr>
        <w:t>Below p</w:t>
      </w:r>
      <w:r w:rsidRPr="00E4397D">
        <w:rPr>
          <w:rFonts w:ascii="Calibri" w:hAnsi="Calibri" w:cs="Calibri"/>
          <w:sz w:val="20"/>
          <w:szCs w:val="20"/>
        </w:rPr>
        <w:t xml:space="preserve">ower control requirement for IAB-MT should be defined accordingly to </w:t>
      </w:r>
      <w:r w:rsidR="00E512ED" w:rsidRPr="00E4397D">
        <w:rPr>
          <w:rFonts w:ascii="Calibri" w:hAnsi="Calibri" w:cs="Calibri"/>
          <w:sz w:val="20"/>
          <w:szCs w:val="20"/>
        </w:rPr>
        <w:t>ensure</w:t>
      </w:r>
      <w:r w:rsidRPr="00E4397D">
        <w:rPr>
          <w:rFonts w:ascii="Calibri" w:hAnsi="Calibri" w:cs="Calibri"/>
          <w:sz w:val="20"/>
          <w:szCs w:val="20"/>
        </w:rPr>
        <w:t xml:space="preserve"> corresponding performance. </w:t>
      </w:r>
    </w:p>
    <w:p w:rsidR="00382E66" w:rsidRPr="00E4397D" w:rsidRDefault="00382E66" w:rsidP="00382E66">
      <w:pPr>
        <w:pStyle w:val="a5"/>
        <w:numPr>
          <w:ilvl w:val="0"/>
          <w:numId w:val="47"/>
        </w:numPr>
        <w:overflowPunct w:val="0"/>
        <w:autoSpaceDE w:val="0"/>
        <w:autoSpaceDN w:val="0"/>
        <w:adjustRightInd w:val="0"/>
        <w:ind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Absolute power control</w:t>
      </w:r>
    </w:p>
    <w:p w:rsidR="00382E66" w:rsidRPr="00E4397D" w:rsidRDefault="00382E66" w:rsidP="00382E66">
      <w:pPr>
        <w:pStyle w:val="a5"/>
        <w:numPr>
          <w:ilvl w:val="0"/>
          <w:numId w:val="47"/>
        </w:numPr>
        <w:overflowPunct w:val="0"/>
        <w:autoSpaceDE w:val="0"/>
        <w:autoSpaceDN w:val="0"/>
        <w:adjustRightInd w:val="0"/>
        <w:ind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 xml:space="preserve">Relative power control </w:t>
      </w:r>
    </w:p>
    <w:p w:rsidR="00382E66" w:rsidRPr="00E4397D" w:rsidRDefault="00382E66" w:rsidP="00382E66">
      <w:pPr>
        <w:pStyle w:val="a5"/>
        <w:numPr>
          <w:ilvl w:val="0"/>
          <w:numId w:val="47"/>
        </w:numPr>
        <w:overflowPunct w:val="0"/>
        <w:autoSpaceDE w:val="0"/>
        <w:autoSpaceDN w:val="0"/>
        <w:adjustRightInd w:val="0"/>
        <w:ind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 xml:space="preserve">Aggregated power control </w:t>
      </w:r>
    </w:p>
    <w:p w:rsidR="00F653F5" w:rsidRPr="00E4397D" w:rsidRDefault="00F653F5" w:rsidP="00827E7A">
      <w:pPr>
        <w:rPr>
          <w:rFonts w:ascii="Calibri" w:hAnsi="Calibri" w:cs="Calibri"/>
          <w:sz w:val="20"/>
          <w:szCs w:val="20"/>
        </w:rPr>
      </w:pPr>
    </w:p>
    <w:p w:rsidR="00FD3BEF" w:rsidRPr="00E4397D" w:rsidRDefault="00F47F0F" w:rsidP="00F47F0F">
      <w:pPr>
        <w:rPr>
          <w:rFonts w:cs="v5.0.0"/>
          <w:sz w:val="20"/>
          <w:szCs w:val="20"/>
        </w:rPr>
      </w:pPr>
      <w:r w:rsidRPr="00E4397D">
        <w:rPr>
          <w:rFonts w:ascii="Calibri" w:hAnsi="Calibri" w:cs="Calibri"/>
          <w:sz w:val="20"/>
          <w:szCs w:val="20"/>
        </w:rPr>
        <w:t>Regarding unwanted emission there is n</w:t>
      </w:r>
      <w:r w:rsidR="00FD3BEF" w:rsidRPr="00E4397D">
        <w:rPr>
          <w:rFonts w:ascii="Calibri" w:hAnsi="Calibri" w:cs="Calibri"/>
          <w:sz w:val="20"/>
          <w:szCs w:val="20"/>
        </w:rPr>
        <w:t>o conclusion yet except relative ACLR for FR2</w:t>
      </w:r>
      <w:r w:rsidRPr="00E4397D">
        <w:rPr>
          <w:rFonts w:ascii="Calibri" w:hAnsi="Calibri" w:cs="Calibri"/>
          <w:sz w:val="20"/>
          <w:szCs w:val="20"/>
        </w:rPr>
        <w:t xml:space="preserve">. First of all, regarding the absolute ACLR, which is defined for BS to limit the absolute ACLR level in the condition that BS operates at lower output power condition, it is not </w:t>
      </w:r>
      <w:r w:rsidR="001214BC" w:rsidRPr="00E4397D">
        <w:rPr>
          <w:rFonts w:ascii="Calibri" w:hAnsi="Calibri" w:cs="Calibri"/>
          <w:sz w:val="20"/>
          <w:szCs w:val="20"/>
        </w:rPr>
        <w:t xml:space="preserve">needed for IAB-MT if the power reduction defined since the ACLR will be tested based on the conditions as well. And regarding the out of band emission </w:t>
      </w:r>
      <w:r w:rsidR="001214BC" w:rsidRPr="00E4397D">
        <w:rPr>
          <w:rFonts w:cs="v5.0.0"/>
          <w:sz w:val="20"/>
          <w:szCs w:val="20"/>
        </w:rPr>
        <w:t>immediately outside the assigned channel bandwidth the SEM requirement of UE is suggested to be applied for IAB-MT. And for spurious emission, it is also suggested to take UE emission mask for IAB-MT rather than reuse the two category emission requirement as BS.</w:t>
      </w:r>
    </w:p>
    <w:p w:rsidR="001214BC" w:rsidRPr="00E4397D" w:rsidRDefault="001214BC" w:rsidP="00F47F0F">
      <w:pPr>
        <w:rPr>
          <w:rFonts w:cs="v5.0.0"/>
          <w:sz w:val="20"/>
          <w:szCs w:val="20"/>
        </w:rPr>
      </w:pPr>
      <w:r w:rsidRPr="00E4397D">
        <w:rPr>
          <w:rFonts w:cs="v5.0.0"/>
          <w:b/>
          <w:sz w:val="20"/>
          <w:szCs w:val="20"/>
        </w:rPr>
        <w:t>Proposal</w:t>
      </w:r>
      <w:r w:rsidR="00AE7F0A" w:rsidRPr="00E4397D">
        <w:rPr>
          <w:rFonts w:cs="v5.0.0"/>
          <w:b/>
          <w:sz w:val="20"/>
          <w:szCs w:val="20"/>
        </w:rPr>
        <w:t xml:space="preserve"> 6</w:t>
      </w:r>
      <w:r w:rsidR="00AE7F0A" w:rsidRPr="00E4397D">
        <w:rPr>
          <w:rFonts w:cs="v5.0.0"/>
          <w:sz w:val="20"/>
          <w:szCs w:val="20"/>
        </w:rPr>
        <w:t>: Absolute ACLR is not needed if MRP/AMPR defined for IAB-MT</w:t>
      </w:r>
    </w:p>
    <w:p w:rsidR="00AE7F0A" w:rsidRPr="00E4397D" w:rsidRDefault="00AE7F0A" w:rsidP="00F47F0F">
      <w:pPr>
        <w:rPr>
          <w:rFonts w:cs="v5.0.0"/>
          <w:sz w:val="20"/>
          <w:szCs w:val="20"/>
        </w:rPr>
      </w:pPr>
      <w:r w:rsidRPr="00E4397D">
        <w:rPr>
          <w:rFonts w:cs="v5.0.0"/>
          <w:b/>
          <w:sz w:val="20"/>
          <w:szCs w:val="20"/>
        </w:rPr>
        <w:t>Proposal 7</w:t>
      </w:r>
      <w:r w:rsidRPr="00E4397D">
        <w:rPr>
          <w:rFonts w:cs="v5.0.0"/>
          <w:sz w:val="20"/>
          <w:szCs w:val="20"/>
        </w:rPr>
        <w:t>: UE SEM requirement is suggested to be applied for IAB-MT out of band emission.</w:t>
      </w:r>
    </w:p>
    <w:p w:rsidR="00AE7F0A" w:rsidRPr="00E4397D" w:rsidRDefault="00AE7F0A" w:rsidP="00F47F0F">
      <w:pPr>
        <w:rPr>
          <w:rFonts w:ascii="Calibri" w:hAnsi="Calibri" w:cs="Calibri"/>
          <w:sz w:val="20"/>
          <w:szCs w:val="20"/>
        </w:rPr>
      </w:pPr>
      <w:r w:rsidRPr="00E4397D">
        <w:rPr>
          <w:rFonts w:cs="v5.0.0"/>
          <w:b/>
          <w:sz w:val="20"/>
          <w:szCs w:val="20"/>
        </w:rPr>
        <w:t>Proposal 8</w:t>
      </w:r>
      <w:r w:rsidRPr="00E4397D">
        <w:rPr>
          <w:rFonts w:cs="v5.0.0"/>
          <w:sz w:val="20"/>
          <w:szCs w:val="20"/>
        </w:rPr>
        <w:t xml:space="preserve">: UE spurious emission is suggested to be applied for IAB-MT. </w:t>
      </w:r>
    </w:p>
    <w:p w:rsidR="004D5E90" w:rsidRPr="00E4397D" w:rsidRDefault="004D5E90" w:rsidP="000C7F91">
      <w:pPr>
        <w:spacing w:after="120"/>
        <w:rPr>
          <w:rFonts w:ascii="Arial" w:hAnsi="Arial" w:cs="Arial"/>
          <w:kern w:val="0"/>
          <w:sz w:val="20"/>
          <w:szCs w:val="20"/>
        </w:rPr>
      </w:pPr>
    </w:p>
    <w:p w:rsidR="00C93C35" w:rsidRDefault="002443BA" w:rsidP="00C93C35">
      <w:pPr>
        <w:pStyle w:val="1"/>
        <w:rPr>
          <w:rFonts w:cs="Arial"/>
          <w:lang w:eastAsia="zh-CN"/>
        </w:rPr>
      </w:pPr>
      <w:r>
        <w:rPr>
          <w:rFonts w:cs="Arial" w:hint="eastAsia"/>
          <w:lang w:eastAsia="zh-CN"/>
        </w:rPr>
        <w:t>C</w:t>
      </w:r>
      <w:r>
        <w:rPr>
          <w:rFonts w:cs="Arial"/>
          <w:lang w:eastAsia="zh-CN"/>
        </w:rPr>
        <w:t xml:space="preserve">onclusion </w:t>
      </w:r>
    </w:p>
    <w:p w:rsidR="00AE7F0A" w:rsidRPr="00E4397D" w:rsidRDefault="00AE7F0A" w:rsidP="00AE7F0A">
      <w:pPr>
        <w:rPr>
          <w:sz w:val="20"/>
          <w:szCs w:val="20"/>
          <w:lang w:val="en-GB"/>
        </w:rPr>
      </w:pPr>
      <w:r w:rsidRPr="00E4397D">
        <w:rPr>
          <w:sz w:val="20"/>
          <w:szCs w:val="20"/>
          <w:lang w:val="en-GB"/>
        </w:rPr>
        <w:t>The observation and proposal in this contribution are summarized as below:</w:t>
      </w:r>
    </w:p>
    <w:p w:rsidR="00E512ED" w:rsidRPr="00E4397D" w:rsidRDefault="00E512ED" w:rsidP="00E512ED">
      <w:pPr>
        <w:rPr>
          <w:sz w:val="20"/>
          <w:szCs w:val="20"/>
        </w:rPr>
      </w:pPr>
      <w:r w:rsidRPr="00E4397D">
        <w:rPr>
          <w:b/>
          <w:sz w:val="20"/>
          <w:szCs w:val="20"/>
        </w:rPr>
        <w:t>Observation 1</w:t>
      </w:r>
      <w:r w:rsidRPr="00E4397D">
        <w:rPr>
          <w:sz w:val="20"/>
          <w:szCs w:val="20"/>
        </w:rPr>
        <w:t>: The UL transmission power level of IAB-MT shall follow the same behavior as UE as defined in TS28.213</w:t>
      </w:r>
    </w:p>
    <w:p w:rsidR="00E512ED" w:rsidRPr="00E4397D" w:rsidRDefault="00E512ED" w:rsidP="00E512ED">
      <w:pPr>
        <w:rPr>
          <w:sz w:val="20"/>
          <w:szCs w:val="20"/>
        </w:rPr>
      </w:pPr>
      <w:r w:rsidRPr="00E4397D">
        <w:rPr>
          <w:b/>
          <w:sz w:val="20"/>
          <w:szCs w:val="20"/>
        </w:rPr>
        <w:t>Observation 2</w:t>
      </w:r>
      <w:r w:rsidRPr="00E4397D">
        <w:rPr>
          <w:sz w:val="20"/>
          <w:szCs w:val="20"/>
        </w:rPr>
        <w:t>: Pcmax is address in each formula to determine the UL transmitted power</w:t>
      </w:r>
    </w:p>
    <w:p w:rsidR="00E512ED" w:rsidRPr="00E4397D" w:rsidRDefault="00E512ED" w:rsidP="00E512ED">
      <w:pPr>
        <w:rPr>
          <w:sz w:val="20"/>
          <w:szCs w:val="20"/>
        </w:rPr>
      </w:pPr>
      <w:r w:rsidRPr="00E4397D">
        <w:rPr>
          <w:b/>
          <w:sz w:val="20"/>
          <w:szCs w:val="20"/>
        </w:rPr>
        <w:t>Proposal 1</w:t>
      </w:r>
      <w:r w:rsidRPr="00E4397D">
        <w:rPr>
          <w:sz w:val="20"/>
          <w:szCs w:val="20"/>
        </w:rPr>
        <w:t>: 3GPP should enable the mechanism to make Parent IAB and Donor gNB aware the power capability of Child IAB-MT.</w:t>
      </w:r>
    </w:p>
    <w:p w:rsidR="00E512ED" w:rsidRPr="00E4397D" w:rsidRDefault="00E512ED" w:rsidP="00E512ED">
      <w:pPr>
        <w:rPr>
          <w:sz w:val="20"/>
          <w:szCs w:val="20"/>
        </w:rPr>
      </w:pPr>
      <w:r w:rsidRPr="00E4397D">
        <w:rPr>
          <w:b/>
          <w:sz w:val="20"/>
          <w:szCs w:val="20"/>
        </w:rPr>
        <w:lastRenderedPageBreak/>
        <w:t>Proposal 2</w:t>
      </w:r>
      <w:r w:rsidRPr="00E4397D">
        <w:rPr>
          <w:sz w:val="20"/>
          <w:szCs w:val="20"/>
        </w:rPr>
        <w:t>: Pcmax shall be defined for IAB-MT</w:t>
      </w:r>
    </w:p>
    <w:p w:rsidR="00AE7F0A" w:rsidRPr="00E4397D" w:rsidRDefault="00E512ED" w:rsidP="00E512ED">
      <w:pPr>
        <w:rPr>
          <w:sz w:val="20"/>
          <w:szCs w:val="20"/>
        </w:rPr>
      </w:pPr>
      <w:r w:rsidRPr="00E4397D">
        <w:rPr>
          <w:b/>
          <w:sz w:val="20"/>
          <w:szCs w:val="20"/>
        </w:rPr>
        <w:t>Proposal 3</w:t>
      </w:r>
      <w:r w:rsidRPr="00E4397D">
        <w:rPr>
          <w:sz w:val="20"/>
          <w:szCs w:val="20"/>
        </w:rPr>
        <w:t>: UE-liked Pcmax definition associated with MPR/AMPR should be taken as starting point for IAB-MT definition</w:t>
      </w:r>
    </w:p>
    <w:p w:rsidR="00E512ED" w:rsidRPr="00E4397D" w:rsidRDefault="00E512ED" w:rsidP="00E512ED">
      <w:pPr>
        <w:rPr>
          <w:sz w:val="20"/>
          <w:szCs w:val="20"/>
        </w:rPr>
      </w:pPr>
      <w:r w:rsidRPr="00E4397D">
        <w:rPr>
          <w:sz w:val="20"/>
          <w:szCs w:val="20"/>
        </w:rPr>
        <w:t>.</w:t>
      </w:r>
    </w:p>
    <w:p w:rsidR="00E512ED" w:rsidRPr="00E4397D" w:rsidRDefault="00E512ED" w:rsidP="00E512ED">
      <w:pPr>
        <w:rPr>
          <w:sz w:val="20"/>
          <w:szCs w:val="20"/>
        </w:rPr>
      </w:pPr>
      <w:r w:rsidRPr="00E4397D">
        <w:rPr>
          <w:b/>
          <w:sz w:val="20"/>
          <w:szCs w:val="20"/>
        </w:rPr>
        <w:t>Observation 3</w:t>
      </w:r>
      <w:r w:rsidRPr="00E4397D">
        <w:rPr>
          <w:sz w:val="20"/>
          <w:szCs w:val="20"/>
        </w:rPr>
        <w:t xml:space="preserve">: Basic power control operation is expected to be still mandatory feature for IAB-MT at least for Wide Area Class. </w:t>
      </w:r>
    </w:p>
    <w:p w:rsidR="00E512ED" w:rsidRPr="00E4397D" w:rsidRDefault="00E512ED" w:rsidP="00E512ED">
      <w:pPr>
        <w:rPr>
          <w:sz w:val="20"/>
          <w:szCs w:val="20"/>
        </w:rPr>
      </w:pPr>
      <w:r w:rsidRPr="00E4397D">
        <w:rPr>
          <w:rFonts w:hint="eastAsia"/>
          <w:b/>
          <w:sz w:val="20"/>
          <w:szCs w:val="20"/>
        </w:rPr>
        <w:t>O</w:t>
      </w:r>
      <w:r w:rsidRPr="00E4397D">
        <w:rPr>
          <w:b/>
          <w:sz w:val="20"/>
          <w:szCs w:val="20"/>
        </w:rPr>
        <w:t>bservation 4</w:t>
      </w:r>
      <w:r w:rsidRPr="00E4397D">
        <w:rPr>
          <w:sz w:val="20"/>
          <w:szCs w:val="20"/>
        </w:rPr>
        <w:t xml:space="preserve">: Parent IAB or Donor gNB will assume child IAB-MT can properly configure and adjust its UL output power level. </w:t>
      </w:r>
    </w:p>
    <w:p w:rsidR="00E512ED" w:rsidRPr="00E4397D" w:rsidRDefault="00E512ED" w:rsidP="00E512ED">
      <w:pPr>
        <w:rPr>
          <w:rFonts w:ascii="Calibri" w:hAnsi="Calibri" w:cs="Calibri"/>
          <w:sz w:val="20"/>
          <w:szCs w:val="20"/>
        </w:rPr>
      </w:pPr>
      <w:r w:rsidRPr="00E4397D">
        <w:rPr>
          <w:rFonts w:ascii="Calibri" w:hAnsi="Calibri" w:cs="Calibri"/>
          <w:b/>
          <w:sz w:val="20"/>
          <w:szCs w:val="20"/>
        </w:rPr>
        <w:t>Proposal 4</w:t>
      </w:r>
      <w:r w:rsidRPr="00E4397D">
        <w:rPr>
          <w:rFonts w:ascii="Calibri" w:hAnsi="Calibri" w:cs="Calibri"/>
          <w:sz w:val="20"/>
          <w:szCs w:val="20"/>
        </w:rPr>
        <w:t xml:space="preserve">: IAB-MT shall be capable to adjust it output power to maintain backhaul link quality. </w:t>
      </w:r>
    </w:p>
    <w:p w:rsidR="00E512ED" w:rsidRPr="00E4397D" w:rsidRDefault="00E512ED" w:rsidP="00E512ED">
      <w:pPr>
        <w:rPr>
          <w:rFonts w:ascii="Calibri" w:hAnsi="Calibri" w:cs="Calibri"/>
          <w:sz w:val="20"/>
          <w:szCs w:val="20"/>
        </w:rPr>
      </w:pPr>
      <w:r w:rsidRPr="00E4397D">
        <w:rPr>
          <w:rFonts w:ascii="Calibri" w:hAnsi="Calibri" w:cs="Calibri"/>
          <w:b/>
          <w:sz w:val="20"/>
          <w:szCs w:val="20"/>
        </w:rPr>
        <w:t>Proposal 5</w:t>
      </w:r>
      <w:r w:rsidRPr="00E4397D">
        <w:rPr>
          <w:rFonts w:ascii="Calibri" w:hAnsi="Calibri" w:cs="Calibri"/>
          <w:sz w:val="20"/>
          <w:szCs w:val="20"/>
        </w:rPr>
        <w:t xml:space="preserve">: Below power control requirement for IAB-MT should be defined accordingly to ensure corresponding performance. </w:t>
      </w:r>
    </w:p>
    <w:p w:rsidR="00E512ED" w:rsidRPr="00E4397D" w:rsidRDefault="00E512ED" w:rsidP="00E512ED">
      <w:pPr>
        <w:pStyle w:val="a5"/>
        <w:numPr>
          <w:ilvl w:val="0"/>
          <w:numId w:val="47"/>
        </w:numPr>
        <w:overflowPunct w:val="0"/>
        <w:autoSpaceDE w:val="0"/>
        <w:autoSpaceDN w:val="0"/>
        <w:adjustRightInd w:val="0"/>
        <w:ind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Absolute power control</w:t>
      </w:r>
    </w:p>
    <w:p w:rsidR="00E512ED" w:rsidRPr="00E4397D" w:rsidRDefault="00E512ED" w:rsidP="00E512ED">
      <w:pPr>
        <w:pStyle w:val="a5"/>
        <w:numPr>
          <w:ilvl w:val="0"/>
          <w:numId w:val="47"/>
        </w:numPr>
        <w:overflowPunct w:val="0"/>
        <w:autoSpaceDE w:val="0"/>
        <w:autoSpaceDN w:val="0"/>
        <w:adjustRightInd w:val="0"/>
        <w:ind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 xml:space="preserve">Relative power control </w:t>
      </w:r>
    </w:p>
    <w:p w:rsidR="00E512ED" w:rsidRPr="00E4397D" w:rsidRDefault="00E512ED" w:rsidP="00E512ED">
      <w:pPr>
        <w:pStyle w:val="a5"/>
        <w:numPr>
          <w:ilvl w:val="0"/>
          <w:numId w:val="47"/>
        </w:numPr>
        <w:overflowPunct w:val="0"/>
        <w:autoSpaceDE w:val="0"/>
        <w:autoSpaceDN w:val="0"/>
        <w:adjustRightInd w:val="0"/>
        <w:ind w:firstLineChars="0"/>
        <w:textAlignment w:val="baseline"/>
        <w:rPr>
          <w:rFonts w:ascii="Calibri" w:eastAsiaTheme="minorEastAsia" w:hAnsi="Calibri" w:cs="Calibri"/>
          <w:iCs/>
          <w:sz w:val="20"/>
          <w:szCs w:val="20"/>
        </w:rPr>
      </w:pPr>
      <w:r w:rsidRPr="00E4397D">
        <w:rPr>
          <w:rFonts w:ascii="Calibri" w:eastAsiaTheme="minorEastAsia" w:hAnsi="Calibri" w:cs="Calibri"/>
          <w:iCs/>
          <w:sz w:val="20"/>
          <w:szCs w:val="20"/>
        </w:rPr>
        <w:t xml:space="preserve">Aggregated power control </w:t>
      </w:r>
    </w:p>
    <w:p w:rsidR="00AE7F0A" w:rsidRPr="00E4397D" w:rsidRDefault="00AE7F0A" w:rsidP="00AE7F0A">
      <w:pPr>
        <w:overflowPunct w:val="0"/>
        <w:autoSpaceDE w:val="0"/>
        <w:autoSpaceDN w:val="0"/>
        <w:adjustRightInd w:val="0"/>
        <w:textAlignment w:val="baseline"/>
        <w:rPr>
          <w:rFonts w:ascii="Calibri" w:hAnsi="Calibri" w:cs="Calibri"/>
          <w:iCs/>
          <w:sz w:val="20"/>
          <w:szCs w:val="20"/>
        </w:rPr>
      </w:pPr>
    </w:p>
    <w:p w:rsidR="00AE7F0A" w:rsidRPr="00E4397D" w:rsidRDefault="00AE7F0A" w:rsidP="00AE7F0A">
      <w:pPr>
        <w:rPr>
          <w:rFonts w:ascii="Calibri" w:hAnsi="Calibri" w:cs="Calibri"/>
          <w:b/>
          <w:sz w:val="20"/>
          <w:szCs w:val="20"/>
        </w:rPr>
      </w:pPr>
      <w:r w:rsidRPr="00E4397D">
        <w:rPr>
          <w:rFonts w:ascii="Calibri" w:hAnsi="Calibri" w:cs="Calibri"/>
          <w:b/>
          <w:sz w:val="20"/>
          <w:szCs w:val="20"/>
        </w:rPr>
        <w:t xml:space="preserve">Proposal 6: </w:t>
      </w:r>
      <w:r w:rsidRPr="00E4397D">
        <w:rPr>
          <w:rFonts w:ascii="Calibri" w:hAnsi="Calibri" w:cs="Calibri"/>
          <w:sz w:val="20"/>
          <w:szCs w:val="20"/>
        </w:rPr>
        <w:t>Absolute ACLR is not needed if MRP/AMPR defined for IAB-MT</w:t>
      </w:r>
    </w:p>
    <w:p w:rsidR="00AE7F0A" w:rsidRPr="00E4397D" w:rsidRDefault="00AE7F0A" w:rsidP="00AE7F0A">
      <w:pPr>
        <w:rPr>
          <w:rFonts w:ascii="Calibri" w:hAnsi="Calibri" w:cs="Calibri"/>
          <w:b/>
          <w:sz w:val="20"/>
          <w:szCs w:val="20"/>
        </w:rPr>
      </w:pPr>
      <w:r w:rsidRPr="00E4397D">
        <w:rPr>
          <w:rFonts w:ascii="Calibri" w:hAnsi="Calibri" w:cs="Calibri"/>
          <w:b/>
          <w:sz w:val="20"/>
          <w:szCs w:val="20"/>
        </w:rPr>
        <w:t xml:space="preserve">Proposal 7: </w:t>
      </w:r>
      <w:r w:rsidRPr="00E4397D">
        <w:rPr>
          <w:rFonts w:ascii="Calibri" w:hAnsi="Calibri" w:cs="Calibri"/>
          <w:sz w:val="20"/>
          <w:szCs w:val="20"/>
        </w:rPr>
        <w:t>UE SEM requirement is suggested to be applied for IAB-MT out of band emission</w:t>
      </w:r>
      <w:r w:rsidRPr="00E4397D">
        <w:rPr>
          <w:rFonts w:ascii="Calibri" w:hAnsi="Calibri" w:cs="Calibri"/>
          <w:b/>
          <w:sz w:val="20"/>
          <w:szCs w:val="20"/>
        </w:rPr>
        <w:t>.</w:t>
      </w:r>
    </w:p>
    <w:p w:rsidR="004D5E90" w:rsidRPr="00E4397D" w:rsidRDefault="00AE7F0A" w:rsidP="00AE7F0A">
      <w:pPr>
        <w:rPr>
          <w:rFonts w:ascii="Calibri" w:hAnsi="Calibri" w:cs="Calibri"/>
          <w:b/>
          <w:sz w:val="20"/>
          <w:szCs w:val="20"/>
        </w:rPr>
      </w:pPr>
      <w:r w:rsidRPr="00E4397D">
        <w:rPr>
          <w:rFonts w:ascii="Calibri" w:hAnsi="Calibri" w:cs="Calibri"/>
          <w:b/>
          <w:sz w:val="20"/>
          <w:szCs w:val="20"/>
        </w:rPr>
        <w:t xml:space="preserve">Proposal 8: </w:t>
      </w:r>
      <w:r w:rsidRPr="00E4397D">
        <w:rPr>
          <w:rFonts w:ascii="Calibri" w:hAnsi="Calibri" w:cs="Calibri"/>
          <w:sz w:val="20"/>
          <w:szCs w:val="20"/>
        </w:rPr>
        <w:t>UE spurious emission is suggested to be applied for IAB-MT.</w:t>
      </w:r>
      <w:r w:rsidRPr="00E4397D">
        <w:rPr>
          <w:rFonts w:ascii="Calibri" w:hAnsi="Calibri" w:cs="Calibri"/>
          <w:b/>
          <w:sz w:val="20"/>
          <w:szCs w:val="20"/>
        </w:rPr>
        <w:t xml:space="preserve"> </w:t>
      </w:r>
    </w:p>
    <w:p w:rsidR="00E65531" w:rsidRDefault="00E65531" w:rsidP="00E65531">
      <w:pPr>
        <w:pStyle w:val="1"/>
        <w:rPr>
          <w:rFonts w:cs="Arial"/>
          <w:lang w:eastAsia="zh-CN"/>
        </w:rPr>
      </w:pPr>
      <w:r>
        <w:rPr>
          <w:rFonts w:cs="Arial" w:hint="eastAsia"/>
          <w:lang w:eastAsia="zh-CN"/>
        </w:rPr>
        <w:t>Reference</w:t>
      </w:r>
      <w:bookmarkStart w:id="0" w:name="_GoBack"/>
      <w:bookmarkEnd w:id="0"/>
    </w:p>
    <w:p w:rsidR="000C100D" w:rsidRPr="00FD793B" w:rsidRDefault="000C100D" w:rsidP="000C100D">
      <w:pPr>
        <w:rPr>
          <w:sz w:val="20"/>
          <w:szCs w:val="20"/>
        </w:rPr>
      </w:pPr>
      <w:r w:rsidRPr="00FD793B">
        <w:rPr>
          <w:sz w:val="20"/>
          <w:szCs w:val="20"/>
        </w:rPr>
        <w:t>[1] R4-2005583</w:t>
      </w:r>
      <w:r w:rsidRPr="00FD793B">
        <w:rPr>
          <w:sz w:val="20"/>
          <w:szCs w:val="20"/>
        </w:rPr>
        <w:tab/>
        <w:t>Email discussion summary for</w:t>
      </w:r>
      <w:r w:rsidRPr="00FD793B">
        <w:rPr>
          <w:rFonts w:hint="eastAsia"/>
          <w:sz w:val="20"/>
          <w:szCs w:val="20"/>
        </w:rPr>
        <w:t xml:space="preserve"> </w:t>
      </w:r>
      <w:r w:rsidRPr="00FD793B">
        <w:rPr>
          <w:sz w:val="20"/>
          <w:szCs w:val="20"/>
        </w:rPr>
        <w:t>[94e Bis][205] NR_IAB_General</w:t>
      </w:r>
    </w:p>
    <w:p w:rsidR="000C100D" w:rsidRPr="00FD793B" w:rsidRDefault="000C100D" w:rsidP="000C100D">
      <w:pPr>
        <w:rPr>
          <w:sz w:val="20"/>
          <w:szCs w:val="20"/>
        </w:rPr>
      </w:pPr>
      <w:r w:rsidRPr="00FD793B">
        <w:rPr>
          <w:sz w:val="20"/>
          <w:szCs w:val="20"/>
        </w:rPr>
        <w:t>[2]R4-2005585</w:t>
      </w:r>
      <w:r w:rsidRPr="00FD793B">
        <w:rPr>
          <w:sz w:val="20"/>
          <w:szCs w:val="20"/>
        </w:rPr>
        <w:tab/>
        <w:t>Email discussion summary for</w:t>
      </w:r>
      <w:r w:rsidRPr="00FD793B">
        <w:rPr>
          <w:rFonts w:hint="eastAsia"/>
          <w:sz w:val="20"/>
          <w:szCs w:val="20"/>
        </w:rPr>
        <w:t xml:space="preserve"> </w:t>
      </w:r>
      <w:r w:rsidRPr="00FD793B">
        <w:rPr>
          <w:sz w:val="20"/>
          <w:szCs w:val="20"/>
        </w:rPr>
        <w:t>[94e Bis][207] NR_IAB_RF_Part_1</w:t>
      </w:r>
    </w:p>
    <w:p w:rsidR="000C100D" w:rsidRPr="00FD793B" w:rsidRDefault="000C100D" w:rsidP="000C100D">
      <w:pPr>
        <w:rPr>
          <w:sz w:val="20"/>
          <w:szCs w:val="20"/>
        </w:rPr>
      </w:pPr>
      <w:r w:rsidRPr="00FD793B">
        <w:rPr>
          <w:sz w:val="20"/>
          <w:szCs w:val="20"/>
        </w:rPr>
        <w:t>[3]R4-2005586</w:t>
      </w:r>
      <w:r w:rsidRPr="00FD793B">
        <w:rPr>
          <w:sz w:val="20"/>
          <w:szCs w:val="20"/>
        </w:rPr>
        <w:tab/>
        <w:t>Email discussion summary for</w:t>
      </w:r>
      <w:r w:rsidRPr="00FD793B">
        <w:rPr>
          <w:rFonts w:hint="eastAsia"/>
          <w:sz w:val="20"/>
          <w:szCs w:val="20"/>
        </w:rPr>
        <w:t xml:space="preserve"> </w:t>
      </w:r>
      <w:r w:rsidRPr="00FD793B">
        <w:rPr>
          <w:sz w:val="20"/>
          <w:szCs w:val="20"/>
        </w:rPr>
        <w:t>[94e Bis][208] NR_IAB_RF_Part_2</w:t>
      </w:r>
    </w:p>
    <w:p w:rsidR="00FA0560" w:rsidRDefault="00FA0560" w:rsidP="008E1C42">
      <w:r>
        <w:rPr>
          <w:sz w:val="20"/>
          <w:szCs w:val="20"/>
        </w:rPr>
        <w:t xml:space="preserve">[4] R1-1913638, </w:t>
      </w:r>
      <w:r>
        <w:t>Introduction of i</w:t>
      </w:r>
      <w:r w:rsidRPr="00602301">
        <w:t>ntegrated access and backhaul</w:t>
      </w:r>
      <w:r>
        <w:t xml:space="preserve"> in NR</w:t>
      </w:r>
    </w:p>
    <w:p w:rsidR="00FA0560" w:rsidRDefault="00FA0560" w:rsidP="00FA0560">
      <w:pPr>
        <w:rPr>
          <w:sz w:val="20"/>
          <w:szCs w:val="20"/>
        </w:rPr>
      </w:pPr>
      <w:r>
        <w:t>[5]</w:t>
      </w:r>
      <w:r w:rsidRPr="00FA0560">
        <w:rPr>
          <w:sz w:val="20"/>
          <w:szCs w:val="20"/>
        </w:rPr>
        <w:t xml:space="preserve"> </w:t>
      </w:r>
      <w:r>
        <w:rPr>
          <w:sz w:val="20"/>
          <w:szCs w:val="20"/>
        </w:rPr>
        <w:t xml:space="preserve">R1-2003089 </w:t>
      </w:r>
      <w:r w:rsidRPr="00FD793B">
        <w:rPr>
          <w:sz w:val="20"/>
          <w:szCs w:val="20"/>
        </w:rPr>
        <w:t>Summary of Email Approval [100b-e-NR-UEFeatures-IAB-04]</w:t>
      </w:r>
    </w:p>
    <w:p w:rsidR="00FA0560" w:rsidRPr="00FA0560" w:rsidRDefault="00FA0560" w:rsidP="008E1C42">
      <w:pPr>
        <w:rPr>
          <w:sz w:val="20"/>
          <w:szCs w:val="20"/>
        </w:rPr>
      </w:pPr>
    </w:p>
    <w:sectPr w:rsidR="00FA0560" w:rsidRPr="00FA0560" w:rsidSect="00851F9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4F0" w:rsidRDefault="006204F0" w:rsidP="00FF76F4">
      <w:r>
        <w:separator/>
      </w:r>
    </w:p>
  </w:endnote>
  <w:endnote w:type="continuationSeparator" w:id="0">
    <w:p w:rsidR="006204F0" w:rsidRDefault="006204F0"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4F0" w:rsidRDefault="006204F0" w:rsidP="00FF76F4">
      <w:r>
        <w:separator/>
      </w:r>
    </w:p>
  </w:footnote>
  <w:footnote w:type="continuationSeparator" w:id="0">
    <w:p w:rsidR="006204F0" w:rsidRDefault="006204F0"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15:restartNumberingAfterBreak="0">
    <w:nsid w:val="0AD12B8B"/>
    <w:multiLevelType w:val="hybridMultilevel"/>
    <w:tmpl w:val="74BE24A0"/>
    <w:lvl w:ilvl="0" w:tplc="3B62AC86">
      <w:numFmt w:val="bullet"/>
      <w:lvlText w:val="-"/>
      <w:lvlJc w:val="left"/>
      <w:pPr>
        <w:ind w:left="780" w:hanging="360"/>
      </w:pPr>
      <w:rPr>
        <w:rFonts w:ascii="Calibri" w:eastAsia="宋体" w:hAnsi="Calibri" w:cs="Calibri" w:hint="default"/>
      </w:rPr>
    </w:lvl>
    <w:lvl w:ilvl="1" w:tplc="3B62AC86">
      <w:numFmt w:val="bullet"/>
      <w:lvlText w:val="-"/>
      <w:lvlJc w:val="left"/>
      <w:pPr>
        <w:ind w:left="1260" w:hanging="420"/>
      </w:pPr>
      <w:rPr>
        <w:rFonts w:ascii="Calibri" w:eastAsia="宋体" w:hAnsi="Calibri" w:cs="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15:restartNumberingAfterBreak="0">
    <w:nsid w:val="0D0D68B1"/>
    <w:multiLevelType w:val="hybridMultilevel"/>
    <w:tmpl w:val="58CE5BDC"/>
    <w:lvl w:ilvl="0" w:tplc="F45272BE">
      <w:start w:val="1"/>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4"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E758E6"/>
    <w:multiLevelType w:val="hybridMultilevel"/>
    <w:tmpl w:val="6E3ECFD0"/>
    <w:lvl w:ilvl="0" w:tplc="D7DCBEC0">
      <w:numFmt w:val="bullet"/>
      <w:lvlText w:val="-"/>
      <w:lvlJc w:val="left"/>
      <w:pPr>
        <w:ind w:left="630" w:hanging="420"/>
      </w:pPr>
      <w:rPr>
        <w:rFonts w:ascii="Times New Roman" w:eastAsia="Times New Roman"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2E0F3793"/>
    <w:multiLevelType w:val="hybridMultilevel"/>
    <w:tmpl w:val="B5749D1E"/>
    <w:lvl w:ilvl="0" w:tplc="1A569E4E">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3CB36165"/>
    <w:multiLevelType w:val="hybridMultilevel"/>
    <w:tmpl w:val="7B48E5BA"/>
    <w:lvl w:ilvl="0" w:tplc="3B62AC86">
      <w:numFmt w:val="bullet"/>
      <w:lvlText w:val="-"/>
      <w:lvlJc w:val="left"/>
      <w:pPr>
        <w:ind w:left="360" w:hanging="360"/>
      </w:pPr>
      <w:rPr>
        <w:rFonts w:ascii="Calibri" w:eastAsia="宋体" w:hAnsi="Calibri" w:cs="Calibri" w:hint="default"/>
      </w:rPr>
    </w:lvl>
    <w:lvl w:ilvl="1" w:tplc="3B62AC86">
      <w:numFmt w:val="bullet"/>
      <w:lvlText w:val="-"/>
      <w:lvlJc w:val="left"/>
      <w:pPr>
        <w:ind w:left="840" w:hanging="420"/>
      </w:pPr>
      <w:rPr>
        <w:rFonts w:ascii="Calibri" w:eastAsia="宋体" w:hAnsi="Calibri" w:cs="Calibri"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A79B1"/>
    <w:multiLevelType w:val="hybridMultilevel"/>
    <w:tmpl w:val="BE845F16"/>
    <w:lvl w:ilvl="0" w:tplc="32428166">
      <w:start w:val="1"/>
      <w:numFmt w:val="bullet"/>
      <w:lvlText w:val="•"/>
      <w:lvlJc w:val="left"/>
      <w:pPr>
        <w:tabs>
          <w:tab w:val="num" w:pos="720"/>
        </w:tabs>
        <w:ind w:left="720" w:hanging="360"/>
      </w:pPr>
      <w:rPr>
        <w:rFonts w:ascii="Arial" w:hAnsi="Arial" w:hint="default"/>
      </w:rPr>
    </w:lvl>
    <w:lvl w:ilvl="1" w:tplc="C5FA95C4" w:tentative="1">
      <w:start w:val="1"/>
      <w:numFmt w:val="bullet"/>
      <w:lvlText w:val="•"/>
      <w:lvlJc w:val="left"/>
      <w:pPr>
        <w:tabs>
          <w:tab w:val="num" w:pos="1440"/>
        </w:tabs>
        <w:ind w:left="1440" w:hanging="360"/>
      </w:pPr>
      <w:rPr>
        <w:rFonts w:ascii="Arial" w:hAnsi="Arial" w:hint="default"/>
      </w:rPr>
    </w:lvl>
    <w:lvl w:ilvl="2" w:tplc="FBBC27BA" w:tentative="1">
      <w:start w:val="1"/>
      <w:numFmt w:val="bullet"/>
      <w:lvlText w:val="•"/>
      <w:lvlJc w:val="left"/>
      <w:pPr>
        <w:tabs>
          <w:tab w:val="num" w:pos="2160"/>
        </w:tabs>
        <w:ind w:left="2160" w:hanging="360"/>
      </w:pPr>
      <w:rPr>
        <w:rFonts w:ascii="Arial" w:hAnsi="Arial" w:hint="default"/>
      </w:rPr>
    </w:lvl>
    <w:lvl w:ilvl="3" w:tplc="88745832" w:tentative="1">
      <w:start w:val="1"/>
      <w:numFmt w:val="bullet"/>
      <w:lvlText w:val="•"/>
      <w:lvlJc w:val="left"/>
      <w:pPr>
        <w:tabs>
          <w:tab w:val="num" w:pos="2880"/>
        </w:tabs>
        <w:ind w:left="2880" w:hanging="360"/>
      </w:pPr>
      <w:rPr>
        <w:rFonts w:ascii="Arial" w:hAnsi="Arial" w:hint="default"/>
      </w:rPr>
    </w:lvl>
    <w:lvl w:ilvl="4" w:tplc="CDF6FD94" w:tentative="1">
      <w:start w:val="1"/>
      <w:numFmt w:val="bullet"/>
      <w:lvlText w:val="•"/>
      <w:lvlJc w:val="left"/>
      <w:pPr>
        <w:tabs>
          <w:tab w:val="num" w:pos="3600"/>
        </w:tabs>
        <w:ind w:left="3600" w:hanging="360"/>
      </w:pPr>
      <w:rPr>
        <w:rFonts w:ascii="Arial" w:hAnsi="Arial" w:hint="default"/>
      </w:rPr>
    </w:lvl>
    <w:lvl w:ilvl="5" w:tplc="DAD48048" w:tentative="1">
      <w:start w:val="1"/>
      <w:numFmt w:val="bullet"/>
      <w:lvlText w:val="•"/>
      <w:lvlJc w:val="left"/>
      <w:pPr>
        <w:tabs>
          <w:tab w:val="num" w:pos="4320"/>
        </w:tabs>
        <w:ind w:left="4320" w:hanging="360"/>
      </w:pPr>
      <w:rPr>
        <w:rFonts w:ascii="Arial" w:hAnsi="Arial" w:hint="default"/>
      </w:rPr>
    </w:lvl>
    <w:lvl w:ilvl="6" w:tplc="EE106BE4" w:tentative="1">
      <w:start w:val="1"/>
      <w:numFmt w:val="bullet"/>
      <w:lvlText w:val="•"/>
      <w:lvlJc w:val="left"/>
      <w:pPr>
        <w:tabs>
          <w:tab w:val="num" w:pos="5040"/>
        </w:tabs>
        <w:ind w:left="5040" w:hanging="360"/>
      </w:pPr>
      <w:rPr>
        <w:rFonts w:ascii="Arial" w:hAnsi="Arial" w:hint="default"/>
      </w:rPr>
    </w:lvl>
    <w:lvl w:ilvl="7" w:tplc="6456B0E8" w:tentative="1">
      <w:start w:val="1"/>
      <w:numFmt w:val="bullet"/>
      <w:lvlText w:val="•"/>
      <w:lvlJc w:val="left"/>
      <w:pPr>
        <w:tabs>
          <w:tab w:val="num" w:pos="5760"/>
        </w:tabs>
        <w:ind w:left="5760" w:hanging="360"/>
      </w:pPr>
      <w:rPr>
        <w:rFonts w:ascii="Arial" w:hAnsi="Arial" w:hint="default"/>
      </w:rPr>
    </w:lvl>
    <w:lvl w:ilvl="8" w:tplc="59FC8D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30"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FD5195"/>
    <w:multiLevelType w:val="hybridMultilevel"/>
    <w:tmpl w:val="73B20330"/>
    <w:lvl w:ilvl="0" w:tplc="6A1E6E34">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5"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DFF2DF0"/>
    <w:multiLevelType w:val="hybridMultilevel"/>
    <w:tmpl w:val="DD4C39CA"/>
    <w:lvl w:ilvl="0" w:tplc="85A6C700">
      <w:start w:val="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8330B"/>
    <w:multiLevelType w:val="hybridMultilevel"/>
    <w:tmpl w:val="CD0A752E"/>
    <w:lvl w:ilvl="0" w:tplc="6A0490D8">
      <w:start w:val="1"/>
      <w:numFmt w:val="decimal"/>
      <w:lvlText w:val="%1)"/>
      <w:lvlJc w:val="left"/>
      <w:pPr>
        <w:ind w:left="1200" w:hanging="360"/>
      </w:pPr>
      <w:rPr>
        <w:rFonts w:hint="default"/>
      </w:rPr>
    </w:lvl>
    <w:lvl w:ilvl="1" w:tplc="625C0070">
      <w:numFmt w:val="bullet"/>
      <w:lvlText w:val="-"/>
      <w:lvlJc w:val="left"/>
      <w:pPr>
        <w:ind w:left="1680" w:hanging="420"/>
      </w:pPr>
      <w:rPr>
        <w:rFonts w:ascii="Times" w:eastAsia="MS Mincho" w:hAnsi="Times" w:cs="Times New Roman"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8" w15:restartNumberingAfterBreak="0">
    <w:nsid w:val="714E1363"/>
    <w:multiLevelType w:val="hybridMultilevel"/>
    <w:tmpl w:val="8C308FB0"/>
    <w:lvl w:ilvl="0" w:tplc="78C8F870">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87A3D52"/>
    <w:multiLevelType w:val="hybridMultilevel"/>
    <w:tmpl w:val="68CA921A"/>
    <w:lvl w:ilvl="0" w:tplc="08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3"/>
  </w:num>
  <w:num w:numId="3">
    <w:abstractNumId w:val="8"/>
  </w:num>
  <w:num w:numId="4">
    <w:abstractNumId w:val="12"/>
  </w:num>
  <w:num w:numId="5">
    <w:abstractNumId w:val="30"/>
  </w:num>
  <w:num w:numId="6">
    <w:abstractNumId w:val="10"/>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9"/>
  </w:num>
  <w:num w:numId="9">
    <w:abstractNumId w:val="3"/>
  </w:num>
  <w:num w:numId="10">
    <w:abstractNumId w:val="42"/>
  </w:num>
  <w:num w:numId="11">
    <w:abstractNumId w:val="17"/>
  </w:num>
  <w:num w:numId="12">
    <w:abstractNumId w:val="21"/>
  </w:num>
  <w:num w:numId="13">
    <w:abstractNumId w:val="7"/>
  </w:num>
  <w:num w:numId="14">
    <w:abstractNumId w:val="9"/>
  </w:num>
  <w:num w:numId="15">
    <w:abstractNumId w:val="5"/>
  </w:num>
  <w:num w:numId="16">
    <w:abstractNumId w:val="27"/>
  </w:num>
  <w:num w:numId="17">
    <w:abstractNumId w:val="35"/>
  </w:num>
  <w:num w:numId="18">
    <w:abstractNumId w:val="26"/>
  </w:num>
  <w:num w:numId="19">
    <w:abstractNumId w:val="11"/>
  </w:num>
  <w:num w:numId="20">
    <w:abstractNumId w:val="22"/>
  </w:num>
  <w:num w:numId="21">
    <w:abstractNumId w:val="6"/>
  </w:num>
  <w:num w:numId="22">
    <w:abstractNumId w:val="25"/>
  </w:num>
  <w:num w:numId="23">
    <w:abstractNumId w:val="20"/>
  </w:num>
  <w:num w:numId="24">
    <w:abstractNumId w:val="15"/>
  </w:num>
  <w:num w:numId="25">
    <w:abstractNumId w:val="44"/>
  </w:num>
  <w:num w:numId="26">
    <w:abstractNumId w:val="1"/>
  </w:num>
  <w:num w:numId="27">
    <w:abstractNumId w:val="29"/>
  </w:num>
  <w:num w:numId="28">
    <w:abstractNumId w:val="40"/>
  </w:num>
  <w:num w:numId="29">
    <w:abstractNumId w:val="19"/>
  </w:num>
  <w:num w:numId="30">
    <w:abstractNumId w:val="41"/>
    <w:lvlOverride w:ilvl="0">
      <w:startOverride w:val="2"/>
    </w:lvlOverride>
  </w:num>
  <w:num w:numId="31">
    <w:abstractNumId w:val="41"/>
    <w:lvlOverride w:ilvl="0">
      <w:startOverride w:val="4"/>
    </w:lvlOverride>
  </w:num>
  <w:num w:numId="32">
    <w:abstractNumId w:val="31"/>
  </w:num>
  <w:num w:numId="33">
    <w:abstractNumId w:val="2"/>
  </w:num>
  <w:num w:numId="34">
    <w:abstractNumId w:val="24"/>
  </w:num>
  <w:num w:numId="35">
    <w:abstractNumId w:val="4"/>
  </w:num>
  <w:num w:numId="36">
    <w:abstractNumId w:val="32"/>
  </w:num>
  <w:num w:numId="37">
    <w:abstractNumId w:val="36"/>
  </w:num>
  <w:num w:numId="38">
    <w:abstractNumId w:val="43"/>
  </w:num>
  <w:num w:numId="39">
    <w:abstractNumId w:val="33"/>
  </w:num>
  <w:num w:numId="40">
    <w:abstractNumId w:val="37"/>
  </w:num>
  <w:num w:numId="41">
    <w:abstractNumId w:val="14"/>
  </w:num>
  <w:num w:numId="42">
    <w:abstractNumId w:val="28"/>
  </w:num>
  <w:num w:numId="43">
    <w:abstractNumId w:val="18"/>
  </w:num>
  <w:num w:numId="44">
    <w:abstractNumId w:val="16"/>
  </w:num>
  <w:num w:numId="45">
    <w:abstractNumId w:val="38"/>
  </w:num>
  <w:num w:numId="46">
    <w:abstractNumId w:val="13"/>
  </w:num>
  <w:num w:numId="47">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3C69"/>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2E5D"/>
    <w:rsid w:val="00073211"/>
    <w:rsid w:val="00081033"/>
    <w:rsid w:val="0008319D"/>
    <w:rsid w:val="00086E14"/>
    <w:rsid w:val="0009033A"/>
    <w:rsid w:val="0009104B"/>
    <w:rsid w:val="00091A41"/>
    <w:rsid w:val="00095E1A"/>
    <w:rsid w:val="000A13E0"/>
    <w:rsid w:val="000A6D1A"/>
    <w:rsid w:val="000B12F8"/>
    <w:rsid w:val="000B1FF8"/>
    <w:rsid w:val="000B2BC0"/>
    <w:rsid w:val="000C100D"/>
    <w:rsid w:val="000C243C"/>
    <w:rsid w:val="000C4C74"/>
    <w:rsid w:val="000C5204"/>
    <w:rsid w:val="000C5302"/>
    <w:rsid w:val="000C54C6"/>
    <w:rsid w:val="000C7F91"/>
    <w:rsid w:val="000D3C64"/>
    <w:rsid w:val="000D4C59"/>
    <w:rsid w:val="000E254F"/>
    <w:rsid w:val="000E269A"/>
    <w:rsid w:val="000E33AA"/>
    <w:rsid w:val="000E34BE"/>
    <w:rsid w:val="000E3ED7"/>
    <w:rsid w:val="000E42C5"/>
    <w:rsid w:val="000E5E68"/>
    <w:rsid w:val="000E6A3A"/>
    <w:rsid w:val="000F0286"/>
    <w:rsid w:val="000F0FA3"/>
    <w:rsid w:val="000F470A"/>
    <w:rsid w:val="000F4EB5"/>
    <w:rsid w:val="000F5165"/>
    <w:rsid w:val="000F53E9"/>
    <w:rsid w:val="000F6B51"/>
    <w:rsid w:val="000F6F63"/>
    <w:rsid w:val="00100301"/>
    <w:rsid w:val="00102A9E"/>
    <w:rsid w:val="0010748C"/>
    <w:rsid w:val="001074A1"/>
    <w:rsid w:val="00111284"/>
    <w:rsid w:val="001118BE"/>
    <w:rsid w:val="00115241"/>
    <w:rsid w:val="001163EB"/>
    <w:rsid w:val="00121276"/>
    <w:rsid w:val="001214BC"/>
    <w:rsid w:val="00123589"/>
    <w:rsid w:val="00125394"/>
    <w:rsid w:val="00131637"/>
    <w:rsid w:val="00131991"/>
    <w:rsid w:val="0013335E"/>
    <w:rsid w:val="00135DC0"/>
    <w:rsid w:val="00135E7C"/>
    <w:rsid w:val="0013726E"/>
    <w:rsid w:val="001438AA"/>
    <w:rsid w:val="00143D1D"/>
    <w:rsid w:val="00144B02"/>
    <w:rsid w:val="001455C3"/>
    <w:rsid w:val="0014667B"/>
    <w:rsid w:val="00162691"/>
    <w:rsid w:val="0016328B"/>
    <w:rsid w:val="001677EB"/>
    <w:rsid w:val="0017034F"/>
    <w:rsid w:val="00170B06"/>
    <w:rsid w:val="00172185"/>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5265"/>
    <w:rsid w:val="001B3133"/>
    <w:rsid w:val="001B4EF0"/>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3643"/>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43BA"/>
    <w:rsid w:val="00246EBC"/>
    <w:rsid w:val="00247675"/>
    <w:rsid w:val="00252606"/>
    <w:rsid w:val="002534CA"/>
    <w:rsid w:val="00257B53"/>
    <w:rsid w:val="00257FB9"/>
    <w:rsid w:val="00260E9E"/>
    <w:rsid w:val="002611BB"/>
    <w:rsid w:val="00261C0C"/>
    <w:rsid w:val="00262C6C"/>
    <w:rsid w:val="00264CF1"/>
    <w:rsid w:val="0026676E"/>
    <w:rsid w:val="00266E04"/>
    <w:rsid w:val="002671F3"/>
    <w:rsid w:val="00267AAF"/>
    <w:rsid w:val="00270F7A"/>
    <w:rsid w:val="00271B14"/>
    <w:rsid w:val="0027316B"/>
    <w:rsid w:val="002741FD"/>
    <w:rsid w:val="00277496"/>
    <w:rsid w:val="00281E20"/>
    <w:rsid w:val="00285A74"/>
    <w:rsid w:val="00286C6A"/>
    <w:rsid w:val="00294C44"/>
    <w:rsid w:val="00295175"/>
    <w:rsid w:val="002971D6"/>
    <w:rsid w:val="00297965"/>
    <w:rsid w:val="002A0C18"/>
    <w:rsid w:val="002A5A60"/>
    <w:rsid w:val="002A727E"/>
    <w:rsid w:val="002B0953"/>
    <w:rsid w:val="002B1265"/>
    <w:rsid w:val="002B459E"/>
    <w:rsid w:val="002B4B6A"/>
    <w:rsid w:val="002B4C48"/>
    <w:rsid w:val="002C22C2"/>
    <w:rsid w:val="002C2435"/>
    <w:rsid w:val="002C333F"/>
    <w:rsid w:val="002C5A67"/>
    <w:rsid w:val="002C7731"/>
    <w:rsid w:val="002C7C95"/>
    <w:rsid w:val="002D33BF"/>
    <w:rsid w:val="002D6806"/>
    <w:rsid w:val="002E0E33"/>
    <w:rsid w:val="002E2FCA"/>
    <w:rsid w:val="002E4E27"/>
    <w:rsid w:val="002F0731"/>
    <w:rsid w:val="002F1435"/>
    <w:rsid w:val="002F4833"/>
    <w:rsid w:val="003029C2"/>
    <w:rsid w:val="00303031"/>
    <w:rsid w:val="00307F2F"/>
    <w:rsid w:val="00312862"/>
    <w:rsid w:val="00313FF8"/>
    <w:rsid w:val="00314493"/>
    <w:rsid w:val="0031560F"/>
    <w:rsid w:val="003218D7"/>
    <w:rsid w:val="003252C5"/>
    <w:rsid w:val="00325506"/>
    <w:rsid w:val="00325AE1"/>
    <w:rsid w:val="0032668A"/>
    <w:rsid w:val="00330269"/>
    <w:rsid w:val="00330D88"/>
    <w:rsid w:val="00330F3A"/>
    <w:rsid w:val="00333E6B"/>
    <w:rsid w:val="00334231"/>
    <w:rsid w:val="00336F41"/>
    <w:rsid w:val="00341535"/>
    <w:rsid w:val="0034168E"/>
    <w:rsid w:val="003456AF"/>
    <w:rsid w:val="003471B3"/>
    <w:rsid w:val="00347990"/>
    <w:rsid w:val="00352B38"/>
    <w:rsid w:val="003603A3"/>
    <w:rsid w:val="00360C89"/>
    <w:rsid w:val="00360FD3"/>
    <w:rsid w:val="0036113D"/>
    <w:rsid w:val="00362264"/>
    <w:rsid w:val="003623DE"/>
    <w:rsid w:val="00362F87"/>
    <w:rsid w:val="00364D91"/>
    <w:rsid w:val="00365680"/>
    <w:rsid w:val="00366254"/>
    <w:rsid w:val="00370375"/>
    <w:rsid w:val="00370AEB"/>
    <w:rsid w:val="0037169F"/>
    <w:rsid w:val="00373C16"/>
    <w:rsid w:val="00374390"/>
    <w:rsid w:val="00375EE0"/>
    <w:rsid w:val="00382E66"/>
    <w:rsid w:val="003933B7"/>
    <w:rsid w:val="00394462"/>
    <w:rsid w:val="00395CEA"/>
    <w:rsid w:val="00396A44"/>
    <w:rsid w:val="00397F03"/>
    <w:rsid w:val="003A0047"/>
    <w:rsid w:val="003A0365"/>
    <w:rsid w:val="003A0F8B"/>
    <w:rsid w:val="003A3D0E"/>
    <w:rsid w:val="003A4B6D"/>
    <w:rsid w:val="003A4EAB"/>
    <w:rsid w:val="003B3155"/>
    <w:rsid w:val="003B7398"/>
    <w:rsid w:val="003B7523"/>
    <w:rsid w:val="003C031C"/>
    <w:rsid w:val="003C1610"/>
    <w:rsid w:val="003C4BC7"/>
    <w:rsid w:val="003C5997"/>
    <w:rsid w:val="003C5F2E"/>
    <w:rsid w:val="003C7B0C"/>
    <w:rsid w:val="003D081D"/>
    <w:rsid w:val="003D3843"/>
    <w:rsid w:val="003D3E5E"/>
    <w:rsid w:val="003D4810"/>
    <w:rsid w:val="003D4C92"/>
    <w:rsid w:val="003D5CA7"/>
    <w:rsid w:val="003E1BCB"/>
    <w:rsid w:val="003E53C0"/>
    <w:rsid w:val="003F0800"/>
    <w:rsid w:val="003F1336"/>
    <w:rsid w:val="003F2522"/>
    <w:rsid w:val="003F3D0A"/>
    <w:rsid w:val="003F6833"/>
    <w:rsid w:val="00401B8E"/>
    <w:rsid w:val="00402FB6"/>
    <w:rsid w:val="004049D7"/>
    <w:rsid w:val="004144D2"/>
    <w:rsid w:val="004154B5"/>
    <w:rsid w:val="004169F4"/>
    <w:rsid w:val="0042000F"/>
    <w:rsid w:val="00420BBA"/>
    <w:rsid w:val="0042257B"/>
    <w:rsid w:val="00422714"/>
    <w:rsid w:val="00423A51"/>
    <w:rsid w:val="0042479B"/>
    <w:rsid w:val="004262D6"/>
    <w:rsid w:val="00427457"/>
    <w:rsid w:val="0042771E"/>
    <w:rsid w:val="00434276"/>
    <w:rsid w:val="0044026E"/>
    <w:rsid w:val="0044050B"/>
    <w:rsid w:val="0044129E"/>
    <w:rsid w:val="00441C86"/>
    <w:rsid w:val="00445269"/>
    <w:rsid w:val="00447E1F"/>
    <w:rsid w:val="0045116C"/>
    <w:rsid w:val="00452554"/>
    <w:rsid w:val="00452999"/>
    <w:rsid w:val="00453F41"/>
    <w:rsid w:val="00456040"/>
    <w:rsid w:val="00456E45"/>
    <w:rsid w:val="00457F78"/>
    <w:rsid w:val="00460F58"/>
    <w:rsid w:val="00461C52"/>
    <w:rsid w:val="00463740"/>
    <w:rsid w:val="00464581"/>
    <w:rsid w:val="00471EE8"/>
    <w:rsid w:val="00472DED"/>
    <w:rsid w:val="004739C4"/>
    <w:rsid w:val="00474602"/>
    <w:rsid w:val="0047586E"/>
    <w:rsid w:val="00475927"/>
    <w:rsid w:val="004830DB"/>
    <w:rsid w:val="00486410"/>
    <w:rsid w:val="004870CC"/>
    <w:rsid w:val="00490806"/>
    <w:rsid w:val="004914E1"/>
    <w:rsid w:val="00495BB4"/>
    <w:rsid w:val="00496391"/>
    <w:rsid w:val="00497B60"/>
    <w:rsid w:val="004A2586"/>
    <w:rsid w:val="004A6CB8"/>
    <w:rsid w:val="004B2363"/>
    <w:rsid w:val="004B7958"/>
    <w:rsid w:val="004C098D"/>
    <w:rsid w:val="004C0B85"/>
    <w:rsid w:val="004C3783"/>
    <w:rsid w:val="004C5873"/>
    <w:rsid w:val="004D08D4"/>
    <w:rsid w:val="004D2036"/>
    <w:rsid w:val="004D4B96"/>
    <w:rsid w:val="004D5E90"/>
    <w:rsid w:val="004D6754"/>
    <w:rsid w:val="004D78B3"/>
    <w:rsid w:val="004D7CDA"/>
    <w:rsid w:val="004E00B8"/>
    <w:rsid w:val="004E02D1"/>
    <w:rsid w:val="004E037E"/>
    <w:rsid w:val="004E0EBD"/>
    <w:rsid w:val="004E16C1"/>
    <w:rsid w:val="004E463B"/>
    <w:rsid w:val="004E50F2"/>
    <w:rsid w:val="004E64C5"/>
    <w:rsid w:val="004E79AF"/>
    <w:rsid w:val="004F0168"/>
    <w:rsid w:val="004F0D3E"/>
    <w:rsid w:val="004F1D65"/>
    <w:rsid w:val="004F23E7"/>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152C3"/>
    <w:rsid w:val="00520092"/>
    <w:rsid w:val="005213B5"/>
    <w:rsid w:val="00523CF3"/>
    <w:rsid w:val="005246CB"/>
    <w:rsid w:val="00531509"/>
    <w:rsid w:val="005346DE"/>
    <w:rsid w:val="005359F4"/>
    <w:rsid w:val="00535B49"/>
    <w:rsid w:val="00536D9A"/>
    <w:rsid w:val="00536FFB"/>
    <w:rsid w:val="00537A2F"/>
    <w:rsid w:val="005442E0"/>
    <w:rsid w:val="005457EE"/>
    <w:rsid w:val="005518A8"/>
    <w:rsid w:val="00552DB0"/>
    <w:rsid w:val="005542D3"/>
    <w:rsid w:val="00556753"/>
    <w:rsid w:val="00561EED"/>
    <w:rsid w:val="00571F43"/>
    <w:rsid w:val="005722AC"/>
    <w:rsid w:val="00577D1F"/>
    <w:rsid w:val="00577E33"/>
    <w:rsid w:val="00581D9D"/>
    <w:rsid w:val="00582F35"/>
    <w:rsid w:val="005855BE"/>
    <w:rsid w:val="00586132"/>
    <w:rsid w:val="00587CC4"/>
    <w:rsid w:val="00587FF3"/>
    <w:rsid w:val="00593FEF"/>
    <w:rsid w:val="00594B4A"/>
    <w:rsid w:val="00596BB2"/>
    <w:rsid w:val="00597DA7"/>
    <w:rsid w:val="005A09F3"/>
    <w:rsid w:val="005A1066"/>
    <w:rsid w:val="005A3410"/>
    <w:rsid w:val="005A4226"/>
    <w:rsid w:val="005A4BE2"/>
    <w:rsid w:val="005A770A"/>
    <w:rsid w:val="005B2965"/>
    <w:rsid w:val="005B49A1"/>
    <w:rsid w:val="005C1E99"/>
    <w:rsid w:val="005C4FC8"/>
    <w:rsid w:val="005C5399"/>
    <w:rsid w:val="005D08C9"/>
    <w:rsid w:val="005D211D"/>
    <w:rsid w:val="005D3272"/>
    <w:rsid w:val="005D3BC1"/>
    <w:rsid w:val="005D4616"/>
    <w:rsid w:val="005D79AA"/>
    <w:rsid w:val="005E154E"/>
    <w:rsid w:val="005E2128"/>
    <w:rsid w:val="005E334A"/>
    <w:rsid w:val="005E3919"/>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4F0"/>
    <w:rsid w:val="00620683"/>
    <w:rsid w:val="00621391"/>
    <w:rsid w:val="006240DC"/>
    <w:rsid w:val="0062510F"/>
    <w:rsid w:val="00625531"/>
    <w:rsid w:val="00627C0B"/>
    <w:rsid w:val="00627F5C"/>
    <w:rsid w:val="00633715"/>
    <w:rsid w:val="006340A9"/>
    <w:rsid w:val="006344FA"/>
    <w:rsid w:val="00641DC3"/>
    <w:rsid w:val="00642D16"/>
    <w:rsid w:val="006454BA"/>
    <w:rsid w:val="00646ED6"/>
    <w:rsid w:val="00650803"/>
    <w:rsid w:val="006557EE"/>
    <w:rsid w:val="00655C68"/>
    <w:rsid w:val="00657398"/>
    <w:rsid w:val="00661789"/>
    <w:rsid w:val="00665455"/>
    <w:rsid w:val="00666CF0"/>
    <w:rsid w:val="00672ACC"/>
    <w:rsid w:val="0068271C"/>
    <w:rsid w:val="00683FE1"/>
    <w:rsid w:val="00685B8C"/>
    <w:rsid w:val="00690C08"/>
    <w:rsid w:val="00691B0B"/>
    <w:rsid w:val="00693E39"/>
    <w:rsid w:val="00694C72"/>
    <w:rsid w:val="00696AA9"/>
    <w:rsid w:val="006A031A"/>
    <w:rsid w:val="006A2402"/>
    <w:rsid w:val="006A262E"/>
    <w:rsid w:val="006A3761"/>
    <w:rsid w:val="006A4700"/>
    <w:rsid w:val="006A55C5"/>
    <w:rsid w:val="006A64AE"/>
    <w:rsid w:val="006B0552"/>
    <w:rsid w:val="006B0979"/>
    <w:rsid w:val="006B1ECD"/>
    <w:rsid w:val="006B4DDE"/>
    <w:rsid w:val="006C03E8"/>
    <w:rsid w:val="006C0DD2"/>
    <w:rsid w:val="006C2A6A"/>
    <w:rsid w:val="006C4F30"/>
    <w:rsid w:val="006C6724"/>
    <w:rsid w:val="006C6C7A"/>
    <w:rsid w:val="006C7868"/>
    <w:rsid w:val="006F1D96"/>
    <w:rsid w:val="006F2A8B"/>
    <w:rsid w:val="006F7042"/>
    <w:rsid w:val="006F762C"/>
    <w:rsid w:val="006F7668"/>
    <w:rsid w:val="00700908"/>
    <w:rsid w:val="00700ECA"/>
    <w:rsid w:val="00701350"/>
    <w:rsid w:val="00702395"/>
    <w:rsid w:val="0070353D"/>
    <w:rsid w:val="00705546"/>
    <w:rsid w:val="007122B5"/>
    <w:rsid w:val="00712D14"/>
    <w:rsid w:val="0071316C"/>
    <w:rsid w:val="0071351D"/>
    <w:rsid w:val="00713839"/>
    <w:rsid w:val="00715EF6"/>
    <w:rsid w:val="0072021A"/>
    <w:rsid w:val="00721669"/>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976E1"/>
    <w:rsid w:val="007A15A2"/>
    <w:rsid w:val="007A4E3C"/>
    <w:rsid w:val="007A6237"/>
    <w:rsid w:val="007B1FF5"/>
    <w:rsid w:val="007B2E04"/>
    <w:rsid w:val="007B4ED5"/>
    <w:rsid w:val="007B5960"/>
    <w:rsid w:val="007B6C46"/>
    <w:rsid w:val="007C4353"/>
    <w:rsid w:val="007C6838"/>
    <w:rsid w:val="007C7D9D"/>
    <w:rsid w:val="007D0AC1"/>
    <w:rsid w:val="007D21B4"/>
    <w:rsid w:val="007D30B5"/>
    <w:rsid w:val="007D3854"/>
    <w:rsid w:val="007E09FE"/>
    <w:rsid w:val="007E2F2E"/>
    <w:rsid w:val="007E3259"/>
    <w:rsid w:val="007E3D2D"/>
    <w:rsid w:val="007E4C90"/>
    <w:rsid w:val="007E5A88"/>
    <w:rsid w:val="007E5B96"/>
    <w:rsid w:val="007E7250"/>
    <w:rsid w:val="007F04A6"/>
    <w:rsid w:val="007F2337"/>
    <w:rsid w:val="007F313A"/>
    <w:rsid w:val="007F4CFB"/>
    <w:rsid w:val="007F4E92"/>
    <w:rsid w:val="007F625D"/>
    <w:rsid w:val="007F6627"/>
    <w:rsid w:val="007F7A43"/>
    <w:rsid w:val="00800E96"/>
    <w:rsid w:val="008018A3"/>
    <w:rsid w:val="00803C7D"/>
    <w:rsid w:val="00805C88"/>
    <w:rsid w:val="008116DF"/>
    <w:rsid w:val="00812D10"/>
    <w:rsid w:val="008137E4"/>
    <w:rsid w:val="0081547C"/>
    <w:rsid w:val="008200CF"/>
    <w:rsid w:val="0082488E"/>
    <w:rsid w:val="008250EA"/>
    <w:rsid w:val="00826166"/>
    <w:rsid w:val="008268A5"/>
    <w:rsid w:val="00827E7A"/>
    <w:rsid w:val="00831AB1"/>
    <w:rsid w:val="00834611"/>
    <w:rsid w:val="00836FD2"/>
    <w:rsid w:val="00840088"/>
    <w:rsid w:val="008412CA"/>
    <w:rsid w:val="00842028"/>
    <w:rsid w:val="00842E21"/>
    <w:rsid w:val="008439C7"/>
    <w:rsid w:val="00845EDE"/>
    <w:rsid w:val="00845EFE"/>
    <w:rsid w:val="008508C0"/>
    <w:rsid w:val="00851583"/>
    <w:rsid w:val="00851F9E"/>
    <w:rsid w:val="00852054"/>
    <w:rsid w:val="00853F0A"/>
    <w:rsid w:val="0085422D"/>
    <w:rsid w:val="00855436"/>
    <w:rsid w:val="00855466"/>
    <w:rsid w:val="008619D3"/>
    <w:rsid w:val="00862540"/>
    <w:rsid w:val="00864268"/>
    <w:rsid w:val="0086467F"/>
    <w:rsid w:val="00867017"/>
    <w:rsid w:val="00867372"/>
    <w:rsid w:val="00871F57"/>
    <w:rsid w:val="00874064"/>
    <w:rsid w:val="00875009"/>
    <w:rsid w:val="00876864"/>
    <w:rsid w:val="008806B5"/>
    <w:rsid w:val="008818BC"/>
    <w:rsid w:val="008859FF"/>
    <w:rsid w:val="00887DF9"/>
    <w:rsid w:val="00891FEB"/>
    <w:rsid w:val="00893B4F"/>
    <w:rsid w:val="008A07DB"/>
    <w:rsid w:val="008A0CD1"/>
    <w:rsid w:val="008A2078"/>
    <w:rsid w:val="008A3E27"/>
    <w:rsid w:val="008A5761"/>
    <w:rsid w:val="008A60DA"/>
    <w:rsid w:val="008A76CD"/>
    <w:rsid w:val="008B044B"/>
    <w:rsid w:val="008B06DE"/>
    <w:rsid w:val="008B1AD2"/>
    <w:rsid w:val="008B1FEC"/>
    <w:rsid w:val="008B316B"/>
    <w:rsid w:val="008B574D"/>
    <w:rsid w:val="008B5C2D"/>
    <w:rsid w:val="008B5CCF"/>
    <w:rsid w:val="008B6418"/>
    <w:rsid w:val="008B7AB0"/>
    <w:rsid w:val="008C2657"/>
    <w:rsid w:val="008C37C3"/>
    <w:rsid w:val="008C3FC6"/>
    <w:rsid w:val="008C63DB"/>
    <w:rsid w:val="008D0B7A"/>
    <w:rsid w:val="008D38DD"/>
    <w:rsid w:val="008D3D9C"/>
    <w:rsid w:val="008D3EF6"/>
    <w:rsid w:val="008D6D06"/>
    <w:rsid w:val="008D7A68"/>
    <w:rsid w:val="008E03E8"/>
    <w:rsid w:val="008E1C42"/>
    <w:rsid w:val="008E4926"/>
    <w:rsid w:val="008E6D0B"/>
    <w:rsid w:val="008F0575"/>
    <w:rsid w:val="008F07EB"/>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907"/>
    <w:rsid w:val="00943A21"/>
    <w:rsid w:val="00944B33"/>
    <w:rsid w:val="00946ADB"/>
    <w:rsid w:val="0094719C"/>
    <w:rsid w:val="00947C71"/>
    <w:rsid w:val="00951A8E"/>
    <w:rsid w:val="009525FB"/>
    <w:rsid w:val="009527D5"/>
    <w:rsid w:val="00953116"/>
    <w:rsid w:val="009611CD"/>
    <w:rsid w:val="0096199D"/>
    <w:rsid w:val="00962C28"/>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977D1"/>
    <w:rsid w:val="009A133B"/>
    <w:rsid w:val="009A1FEC"/>
    <w:rsid w:val="009A5468"/>
    <w:rsid w:val="009A5C5C"/>
    <w:rsid w:val="009B2D6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D5BBB"/>
    <w:rsid w:val="009E0C4D"/>
    <w:rsid w:val="009E0E6E"/>
    <w:rsid w:val="009E2F63"/>
    <w:rsid w:val="009E4907"/>
    <w:rsid w:val="009E6443"/>
    <w:rsid w:val="009E6DDF"/>
    <w:rsid w:val="009E7C4F"/>
    <w:rsid w:val="009F00BC"/>
    <w:rsid w:val="009F1642"/>
    <w:rsid w:val="009F4BE4"/>
    <w:rsid w:val="009F5788"/>
    <w:rsid w:val="00A03A96"/>
    <w:rsid w:val="00A05256"/>
    <w:rsid w:val="00A058CB"/>
    <w:rsid w:val="00A075B9"/>
    <w:rsid w:val="00A11879"/>
    <w:rsid w:val="00A134B1"/>
    <w:rsid w:val="00A14EAE"/>
    <w:rsid w:val="00A15B9B"/>
    <w:rsid w:val="00A16244"/>
    <w:rsid w:val="00A21FED"/>
    <w:rsid w:val="00A239BD"/>
    <w:rsid w:val="00A2408E"/>
    <w:rsid w:val="00A26A7B"/>
    <w:rsid w:val="00A420D0"/>
    <w:rsid w:val="00A450BA"/>
    <w:rsid w:val="00A50C05"/>
    <w:rsid w:val="00A54283"/>
    <w:rsid w:val="00A544BA"/>
    <w:rsid w:val="00A55913"/>
    <w:rsid w:val="00A6034F"/>
    <w:rsid w:val="00A6184D"/>
    <w:rsid w:val="00A6191E"/>
    <w:rsid w:val="00A62FC5"/>
    <w:rsid w:val="00A660EB"/>
    <w:rsid w:val="00A66FFF"/>
    <w:rsid w:val="00A71D64"/>
    <w:rsid w:val="00A742B3"/>
    <w:rsid w:val="00A75A40"/>
    <w:rsid w:val="00A76422"/>
    <w:rsid w:val="00A80FB4"/>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C71C1"/>
    <w:rsid w:val="00AD1745"/>
    <w:rsid w:val="00AD1EA3"/>
    <w:rsid w:val="00AD2262"/>
    <w:rsid w:val="00AD2DED"/>
    <w:rsid w:val="00AD4EDA"/>
    <w:rsid w:val="00AD66ED"/>
    <w:rsid w:val="00AD798E"/>
    <w:rsid w:val="00AE04DA"/>
    <w:rsid w:val="00AE0B9A"/>
    <w:rsid w:val="00AE1158"/>
    <w:rsid w:val="00AE249C"/>
    <w:rsid w:val="00AE2762"/>
    <w:rsid w:val="00AE2E76"/>
    <w:rsid w:val="00AE4578"/>
    <w:rsid w:val="00AE4B32"/>
    <w:rsid w:val="00AE4EAD"/>
    <w:rsid w:val="00AE52B7"/>
    <w:rsid w:val="00AE5DF0"/>
    <w:rsid w:val="00AE6BA2"/>
    <w:rsid w:val="00AE6D64"/>
    <w:rsid w:val="00AE7F0A"/>
    <w:rsid w:val="00AF23B3"/>
    <w:rsid w:val="00AF3FB5"/>
    <w:rsid w:val="00AF476C"/>
    <w:rsid w:val="00AF5141"/>
    <w:rsid w:val="00AF7A9F"/>
    <w:rsid w:val="00B07908"/>
    <w:rsid w:val="00B1548E"/>
    <w:rsid w:val="00B17149"/>
    <w:rsid w:val="00B17635"/>
    <w:rsid w:val="00B2082B"/>
    <w:rsid w:val="00B245DB"/>
    <w:rsid w:val="00B24791"/>
    <w:rsid w:val="00B25482"/>
    <w:rsid w:val="00B26351"/>
    <w:rsid w:val="00B31802"/>
    <w:rsid w:val="00B3419F"/>
    <w:rsid w:val="00B34A8F"/>
    <w:rsid w:val="00B353E2"/>
    <w:rsid w:val="00B411C4"/>
    <w:rsid w:val="00B43072"/>
    <w:rsid w:val="00B45622"/>
    <w:rsid w:val="00B55054"/>
    <w:rsid w:val="00B5534F"/>
    <w:rsid w:val="00B57539"/>
    <w:rsid w:val="00B57B2C"/>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87A0D"/>
    <w:rsid w:val="00B905F8"/>
    <w:rsid w:val="00B91CDD"/>
    <w:rsid w:val="00B91F60"/>
    <w:rsid w:val="00B933A8"/>
    <w:rsid w:val="00B94130"/>
    <w:rsid w:val="00B95BE9"/>
    <w:rsid w:val="00BA0504"/>
    <w:rsid w:val="00BA1726"/>
    <w:rsid w:val="00BA2CE0"/>
    <w:rsid w:val="00BA46A7"/>
    <w:rsid w:val="00BB325B"/>
    <w:rsid w:val="00BB7649"/>
    <w:rsid w:val="00BB7AC5"/>
    <w:rsid w:val="00BB7FBA"/>
    <w:rsid w:val="00BC0505"/>
    <w:rsid w:val="00BC0E16"/>
    <w:rsid w:val="00BC248D"/>
    <w:rsid w:val="00BC3552"/>
    <w:rsid w:val="00BC684D"/>
    <w:rsid w:val="00BC6DF8"/>
    <w:rsid w:val="00BC78F2"/>
    <w:rsid w:val="00BD0106"/>
    <w:rsid w:val="00BD419B"/>
    <w:rsid w:val="00BD54C1"/>
    <w:rsid w:val="00BD5C8E"/>
    <w:rsid w:val="00BE0616"/>
    <w:rsid w:val="00BE15F5"/>
    <w:rsid w:val="00BE2A39"/>
    <w:rsid w:val="00BE4F17"/>
    <w:rsid w:val="00BE5417"/>
    <w:rsid w:val="00BE765F"/>
    <w:rsid w:val="00BF22B9"/>
    <w:rsid w:val="00BF30E2"/>
    <w:rsid w:val="00C0177B"/>
    <w:rsid w:val="00C04282"/>
    <w:rsid w:val="00C04D38"/>
    <w:rsid w:val="00C04E95"/>
    <w:rsid w:val="00C06CEE"/>
    <w:rsid w:val="00C10BEA"/>
    <w:rsid w:val="00C143D4"/>
    <w:rsid w:val="00C14E08"/>
    <w:rsid w:val="00C16873"/>
    <w:rsid w:val="00C210DA"/>
    <w:rsid w:val="00C222F8"/>
    <w:rsid w:val="00C3115C"/>
    <w:rsid w:val="00C3161B"/>
    <w:rsid w:val="00C32386"/>
    <w:rsid w:val="00C33332"/>
    <w:rsid w:val="00C4038C"/>
    <w:rsid w:val="00C40C3D"/>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80873"/>
    <w:rsid w:val="00C82508"/>
    <w:rsid w:val="00C82F63"/>
    <w:rsid w:val="00C863E2"/>
    <w:rsid w:val="00C90159"/>
    <w:rsid w:val="00C91BE1"/>
    <w:rsid w:val="00C93C35"/>
    <w:rsid w:val="00CA3854"/>
    <w:rsid w:val="00CA50A4"/>
    <w:rsid w:val="00CA77A1"/>
    <w:rsid w:val="00CA78E0"/>
    <w:rsid w:val="00CB0BD7"/>
    <w:rsid w:val="00CB1ED4"/>
    <w:rsid w:val="00CB368E"/>
    <w:rsid w:val="00CB3908"/>
    <w:rsid w:val="00CB4C0B"/>
    <w:rsid w:val="00CB5649"/>
    <w:rsid w:val="00CB6E32"/>
    <w:rsid w:val="00CC147E"/>
    <w:rsid w:val="00CC1786"/>
    <w:rsid w:val="00CC5B2A"/>
    <w:rsid w:val="00CC6475"/>
    <w:rsid w:val="00CD06BB"/>
    <w:rsid w:val="00CD0760"/>
    <w:rsid w:val="00CD2775"/>
    <w:rsid w:val="00CD2AB3"/>
    <w:rsid w:val="00CD2D7F"/>
    <w:rsid w:val="00CD4334"/>
    <w:rsid w:val="00CD4EE4"/>
    <w:rsid w:val="00CD7A83"/>
    <w:rsid w:val="00CD7C43"/>
    <w:rsid w:val="00CE1469"/>
    <w:rsid w:val="00CE2487"/>
    <w:rsid w:val="00CE3DFA"/>
    <w:rsid w:val="00CE3F48"/>
    <w:rsid w:val="00CE4002"/>
    <w:rsid w:val="00CE6FB4"/>
    <w:rsid w:val="00CF146A"/>
    <w:rsid w:val="00CF2EBF"/>
    <w:rsid w:val="00CF3015"/>
    <w:rsid w:val="00CF5CF4"/>
    <w:rsid w:val="00CF7E1F"/>
    <w:rsid w:val="00D03468"/>
    <w:rsid w:val="00D03703"/>
    <w:rsid w:val="00D04CAD"/>
    <w:rsid w:val="00D106E5"/>
    <w:rsid w:val="00D13F1B"/>
    <w:rsid w:val="00D17C70"/>
    <w:rsid w:val="00D22054"/>
    <w:rsid w:val="00D232AD"/>
    <w:rsid w:val="00D23654"/>
    <w:rsid w:val="00D2438B"/>
    <w:rsid w:val="00D264C9"/>
    <w:rsid w:val="00D30BB9"/>
    <w:rsid w:val="00D31285"/>
    <w:rsid w:val="00D32E23"/>
    <w:rsid w:val="00D35E3B"/>
    <w:rsid w:val="00D37907"/>
    <w:rsid w:val="00D4002E"/>
    <w:rsid w:val="00D448EB"/>
    <w:rsid w:val="00D504ED"/>
    <w:rsid w:val="00D50534"/>
    <w:rsid w:val="00D50E8E"/>
    <w:rsid w:val="00D50F56"/>
    <w:rsid w:val="00D51261"/>
    <w:rsid w:val="00D513E3"/>
    <w:rsid w:val="00D5226F"/>
    <w:rsid w:val="00D5532C"/>
    <w:rsid w:val="00D55643"/>
    <w:rsid w:val="00D55C7B"/>
    <w:rsid w:val="00D56127"/>
    <w:rsid w:val="00D56ABA"/>
    <w:rsid w:val="00D579B5"/>
    <w:rsid w:val="00D61E20"/>
    <w:rsid w:val="00D62935"/>
    <w:rsid w:val="00D6633D"/>
    <w:rsid w:val="00D67F94"/>
    <w:rsid w:val="00D71CCC"/>
    <w:rsid w:val="00D71F89"/>
    <w:rsid w:val="00D72C28"/>
    <w:rsid w:val="00D73AA3"/>
    <w:rsid w:val="00D74267"/>
    <w:rsid w:val="00D779CB"/>
    <w:rsid w:val="00D818A8"/>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9E3"/>
    <w:rsid w:val="00DD6C47"/>
    <w:rsid w:val="00DE0902"/>
    <w:rsid w:val="00DE42FB"/>
    <w:rsid w:val="00DE5895"/>
    <w:rsid w:val="00DE6934"/>
    <w:rsid w:val="00DE7284"/>
    <w:rsid w:val="00DF01B2"/>
    <w:rsid w:val="00DF0285"/>
    <w:rsid w:val="00DF130F"/>
    <w:rsid w:val="00DF37A3"/>
    <w:rsid w:val="00DF4456"/>
    <w:rsid w:val="00E0185E"/>
    <w:rsid w:val="00E0252E"/>
    <w:rsid w:val="00E02F86"/>
    <w:rsid w:val="00E0745A"/>
    <w:rsid w:val="00E10AEF"/>
    <w:rsid w:val="00E10E03"/>
    <w:rsid w:val="00E12D07"/>
    <w:rsid w:val="00E14F20"/>
    <w:rsid w:val="00E1726D"/>
    <w:rsid w:val="00E214DE"/>
    <w:rsid w:val="00E2164B"/>
    <w:rsid w:val="00E21F47"/>
    <w:rsid w:val="00E257D2"/>
    <w:rsid w:val="00E25931"/>
    <w:rsid w:val="00E25F38"/>
    <w:rsid w:val="00E26567"/>
    <w:rsid w:val="00E27507"/>
    <w:rsid w:val="00E306AD"/>
    <w:rsid w:val="00E32368"/>
    <w:rsid w:val="00E36FCE"/>
    <w:rsid w:val="00E37277"/>
    <w:rsid w:val="00E4397D"/>
    <w:rsid w:val="00E47E79"/>
    <w:rsid w:val="00E512ED"/>
    <w:rsid w:val="00E55E87"/>
    <w:rsid w:val="00E56320"/>
    <w:rsid w:val="00E57036"/>
    <w:rsid w:val="00E63F56"/>
    <w:rsid w:val="00E64D4A"/>
    <w:rsid w:val="00E65531"/>
    <w:rsid w:val="00E67657"/>
    <w:rsid w:val="00E7101D"/>
    <w:rsid w:val="00E71E6F"/>
    <w:rsid w:val="00E721BE"/>
    <w:rsid w:val="00E75A88"/>
    <w:rsid w:val="00E7703C"/>
    <w:rsid w:val="00E805E8"/>
    <w:rsid w:val="00E80666"/>
    <w:rsid w:val="00E8159E"/>
    <w:rsid w:val="00E91344"/>
    <w:rsid w:val="00E9244E"/>
    <w:rsid w:val="00E9380E"/>
    <w:rsid w:val="00EA1BB5"/>
    <w:rsid w:val="00EA34E5"/>
    <w:rsid w:val="00EA5770"/>
    <w:rsid w:val="00EA6377"/>
    <w:rsid w:val="00EB195F"/>
    <w:rsid w:val="00EB2368"/>
    <w:rsid w:val="00EB542F"/>
    <w:rsid w:val="00EB6561"/>
    <w:rsid w:val="00EC0AA6"/>
    <w:rsid w:val="00EC122F"/>
    <w:rsid w:val="00EC24AE"/>
    <w:rsid w:val="00ED0754"/>
    <w:rsid w:val="00ED0977"/>
    <w:rsid w:val="00ED16C6"/>
    <w:rsid w:val="00ED4907"/>
    <w:rsid w:val="00ED66D5"/>
    <w:rsid w:val="00EE03AE"/>
    <w:rsid w:val="00EE06EC"/>
    <w:rsid w:val="00EE37BE"/>
    <w:rsid w:val="00EE3D1A"/>
    <w:rsid w:val="00EF0C46"/>
    <w:rsid w:val="00EF1343"/>
    <w:rsid w:val="00EF42DD"/>
    <w:rsid w:val="00EF4439"/>
    <w:rsid w:val="00EF7F93"/>
    <w:rsid w:val="00F0050B"/>
    <w:rsid w:val="00F00811"/>
    <w:rsid w:val="00F008EF"/>
    <w:rsid w:val="00F019D5"/>
    <w:rsid w:val="00F02DC4"/>
    <w:rsid w:val="00F048FF"/>
    <w:rsid w:val="00F05705"/>
    <w:rsid w:val="00F14735"/>
    <w:rsid w:val="00F15731"/>
    <w:rsid w:val="00F20091"/>
    <w:rsid w:val="00F243C2"/>
    <w:rsid w:val="00F261B1"/>
    <w:rsid w:val="00F26C2D"/>
    <w:rsid w:val="00F27A1F"/>
    <w:rsid w:val="00F311CC"/>
    <w:rsid w:val="00F32055"/>
    <w:rsid w:val="00F33EAC"/>
    <w:rsid w:val="00F374FD"/>
    <w:rsid w:val="00F41A3E"/>
    <w:rsid w:val="00F435E2"/>
    <w:rsid w:val="00F44A88"/>
    <w:rsid w:val="00F47F0F"/>
    <w:rsid w:val="00F52891"/>
    <w:rsid w:val="00F52F3B"/>
    <w:rsid w:val="00F54D03"/>
    <w:rsid w:val="00F55C7F"/>
    <w:rsid w:val="00F56353"/>
    <w:rsid w:val="00F625E2"/>
    <w:rsid w:val="00F62AEC"/>
    <w:rsid w:val="00F64028"/>
    <w:rsid w:val="00F64543"/>
    <w:rsid w:val="00F65229"/>
    <w:rsid w:val="00F653F5"/>
    <w:rsid w:val="00F66A7F"/>
    <w:rsid w:val="00F66B70"/>
    <w:rsid w:val="00F67B14"/>
    <w:rsid w:val="00F71A3A"/>
    <w:rsid w:val="00F73AB4"/>
    <w:rsid w:val="00F74756"/>
    <w:rsid w:val="00F7485F"/>
    <w:rsid w:val="00F761D2"/>
    <w:rsid w:val="00F7681A"/>
    <w:rsid w:val="00F82735"/>
    <w:rsid w:val="00F8624F"/>
    <w:rsid w:val="00F92C3E"/>
    <w:rsid w:val="00F941AC"/>
    <w:rsid w:val="00F94980"/>
    <w:rsid w:val="00F953F2"/>
    <w:rsid w:val="00F963D2"/>
    <w:rsid w:val="00F969A3"/>
    <w:rsid w:val="00F97CAD"/>
    <w:rsid w:val="00F97D27"/>
    <w:rsid w:val="00FA0560"/>
    <w:rsid w:val="00FA098F"/>
    <w:rsid w:val="00FA21C1"/>
    <w:rsid w:val="00FA2623"/>
    <w:rsid w:val="00FA320A"/>
    <w:rsid w:val="00FA6681"/>
    <w:rsid w:val="00FA6B77"/>
    <w:rsid w:val="00FA790B"/>
    <w:rsid w:val="00FB05F7"/>
    <w:rsid w:val="00FB06CE"/>
    <w:rsid w:val="00FB1755"/>
    <w:rsid w:val="00FB1F84"/>
    <w:rsid w:val="00FB2B6A"/>
    <w:rsid w:val="00FB2E42"/>
    <w:rsid w:val="00FB2FF5"/>
    <w:rsid w:val="00FB306B"/>
    <w:rsid w:val="00FB3651"/>
    <w:rsid w:val="00FB3C20"/>
    <w:rsid w:val="00FB6A85"/>
    <w:rsid w:val="00FB6C71"/>
    <w:rsid w:val="00FC0036"/>
    <w:rsid w:val="00FC5C68"/>
    <w:rsid w:val="00FC7C34"/>
    <w:rsid w:val="00FD0D77"/>
    <w:rsid w:val="00FD172C"/>
    <w:rsid w:val="00FD3A8E"/>
    <w:rsid w:val="00FD3BEF"/>
    <w:rsid w:val="00FD5645"/>
    <w:rsid w:val="00FD793B"/>
    <w:rsid w:val="00FE2BD0"/>
    <w:rsid w:val="00FE5344"/>
    <w:rsid w:val="00FE7DF2"/>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34E2EF-0396-4352-89A2-DEAA6D49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2E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ì¬º¥¹¥È¶ÎÂä,ÁÐ³ö¶ÎÂä,列表段落1,—ño’i—Ž,¥ê¥¹¥È¶ÎÂä,1st level - Bullet List Paragraph,Lettre d'introduction,Paragrafo elenco,Normal bullet 2,R4_bullets,清單段落1"/>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 Char,¥¡¡¡¡ì¬º¥¹¥È¶ÎÂä Char,ÁÐ³ö¶ÎÂä Char,列表段落1 Char,—ño’i—Ž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uiPriority w:val="99"/>
    <w:qFormat/>
    <w:rsid w:val="00910877"/>
    <w:rPr>
      <w:rFonts w:ascii="Arial" w:eastAsia="宋体" w:hAnsi="Arial" w:cs="Times New Roman"/>
      <w:b/>
      <w:kern w:val="0"/>
      <w:sz w:val="18"/>
      <w:szCs w:val="20"/>
      <w:lang w:val="en-GB"/>
    </w:rPr>
  </w:style>
  <w:style w:type="table" w:styleId="a7">
    <w:name w:val="Table Grid"/>
    <w:basedOn w:val="a1"/>
    <w:uiPriority w:val="39"/>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c"/>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
    <w:basedOn w:val="a"/>
    <w:link w:val="Char4"/>
    <w:semiHidden/>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
    <w:basedOn w:val="a0"/>
    <w:link w:val="ad"/>
    <w:semiHidden/>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semiHidden/>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basedOn w:val="a"/>
    <w:next w:val="a"/>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qFormat/>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iPriority w:val="99"/>
    <w:semiHidden/>
    <w:unhideWhenUsed/>
    <w:rsid w:val="00AE4B32"/>
    <w:rPr>
      <w:sz w:val="21"/>
      <w:szCs w:val="21"/>
    </w:rPr>
  </w:style>
  <w:style w:type="paragraph" w:styleId="af1">
    <w:name w:val="annotation text"/>
    <w:basedOn w:val="a"/>
    <w:link w:val="Char5"/>
    <w:uiPriority w:val="99"/>
    <w:unhideWhenUsed/>
    <w:rsid w:val="00AE4B32"/>
    <w:pPr>
      <w:jc w:val="left"/>
    </w:pPr>
  </w:style>
  <w:style w:type="character" w:customStyle="1" w:styleId="Char5">
    <w:name w:val="批注文字 Char"/>
    <w:basedOn w:val="a0"/>
    <w:link w:val="af1"/>
    <w:uiPriority w:val="99"/>
    <w:rsid w:val="00AE4B32"/>
  </w:style>
  <w:style w:type="paragraph" w:styleId="af2">
    <w:name w:val="annotation subject"/>
    <w:basedOn w:val="af1"/>
    <w:next w:val="af1"/>
    <w:link w:val="Char6"/>
    <w:uiPriority w:val="99"/>
    <w:semiHidden/>
    <w:unhideWhenUsed/>
    <w:rsid w:val="00AE4B32"/>
    <w:rPr>
      <w:b/>
      <w:bCs/>
    </w:rPr>
  </w:style>
  <w:style w:type="character" w:customStyle="1" w:styleId="Char6">
    <w:name w:val="批注主题 Char"/>
    <w:basedOn w:val="Char5"/>
    <w:link w:val="af2"/>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7"/>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7">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character" w:customStyle="1" w:styleId="search-word-mail">
    <w:name w:val="search-word-mail"/>
    <w:basedOn w:val="a0"/>
    <w:rsid w:val="008E1C42"/>
  </w:style>
  <w:style w:type="paragraph" w:customStyle="1" w:styleId="maintext">
    <w:name w:val="main text"/>
    <w:basedOn w:val="a"/>
    <w:link w:val="maintextChar"/>
    <w:qFormat/>
    <w:rsid w:val="00F019D5"/>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F019D5"/>
    <w:rPr>
      <w:rFonts w:ascii="Times New Roman" w:eastAsia="Malgun Gothic" w:hAnsi="Times New Roman" w:cs="Batang"/>
      <w:kern w:val="0"/>
      <w:sz w:val="20"/>
      <w:szCs w:val="20"/>
      <w:lang w:val="en-GB" w:eastAsia="ko-KR"/>
    </w:rPr>
  </w:style>
  <w:style w:type="paragraph" w:customStyle="1" w:styleId="TAL">
    <w:name w:val="TAL"/>
    <w:basedOn w:val="a"/>
    <w:link w:val="TALChar"/>
    <w:qFormat/>
    <w:rsid w:val="00B2548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rsid w:val="005A4226"/>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4418477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3762667">
      <w:bodyDiv w:val="1"/>
      <w:marLeft w:val="0"/>
      <w:marRight w:val="0"/>
      <w:marTop w:val="0"/>
      <w:marBottom w:val="0"/>
      <w:divBdr>
        <w:top w:val="none" w:sz="0" w:space="0" w:color="auto"/>
        <w:left w:val="none" w:sz="0" w:space="0" w:color="auto"/>
        <w:bottom w:val="none" w:sz="0" w:space="0" w:color="auto"/>
        <w:right w:val="none" w:sz="0" w:space="0" w:color="auto"/>
      </w:divBdr>
      <w:divsChild>
        <w:div w:id="309481143">
          <w:marLeft w:val="360"/>
          <w:marRight w:val="0"/>
          <w:marTop w:val="200"/>
          <w:marBottom w:val="0"/>
          <w:divBdr>
            <w:top w:val="none" w:sz="0" w:space="0" w:color="auto"/>
            <w:left w:val="none" w:sz="0" w:space="0" w:color="auto"/>
            <w:bottom w:val="none" w:sz="0" w:space="0" w:color="auto"/>
            <w:right w:val="none" w:sz="0" w:space="0" w:color="auto"/>
          </w:divBdr>
        </w:div>
        <w:div w:id="102867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87958724">
      <w:bodyDiv w:val="1"/>
      <w:marLeft w:val="0"/>
      <w:marRight w:val="0"/>
      <w:marTop w:val="0"/>
      <w:marBottom w:val="0"/>
      <w:divBdr>
        <w:top w:val="none" w:sz="0" w:space="0" w:color="auto"/>
        <w:left w:val="none" w:sz="0" w:space="0" w:color="auto"/>
        <w:bottom w:val="none" w:sz="0" w:space="0" w:color="auto"/>
        <w:right w:val="none" w:sz="0" w:space="0" w:color="auto"/>
      </w:divBdr>
      <w:divsChild>
        <w:div w:id="63526662">
          <w:marLeft w:val="0"/>
          <w:marRight w:val="0"/>
          <w:marTop w:val="0"/>
          <w:marBottom w:val="0"/>
          <w:divBdr>
            <w:top w:val="none" w:sz="0" w:space="0" w:color="auto"/>
            <w:left w:val="none" w:sz="0" w:space="0" w:color="auto"/>
            <w:bottom w:val="none" w:sz="0" w:space="0" w:color="auto"/>
            <w:right w:val="none" w:sz="0" w:space="0" w:color="auto"/>
          </w:divBdr>
          <w:divsChild>
            <w:div w:id="1382747787">
              <w:marLeft w:val="0"/>
              <w:marRight w:val="0"/>
              <w:marTop w:val="0"/>
              <w:marBottom w:val="0"/>
              <w:divBdr>
                <w:top w:val="none" w:sz="0" w:space="0" w:color="auto"/>
                <w:left w:val="none" w:sz="0" w:space="0" w:color="auto"/>
                <w:bottom w:val="none" w:sz="0" w:space="0" w:color="auto"/>
                <w:right w:val="none" w:sz="0" w:space="0" w:color="auto"/>
              </w:divBdr>
              <w:divsChild>
                <w:div w:id="1303080756">
                  <w:marLeft w:val="0"/>
                  <w:marRight w:val="0"/>
                  <w:marTop w:val="0"/>
                  <w:marBottom w:val="0"/>
                  <w:divBdr>
                    <w:top w:val="none" w:sz="0" w:space="0" w:color="auto"/>
                    <w:left w:val="none" w:sz="0" w:space="0" w:color="auto"/>
                    <w:bottom w:val="none" w:sz="0" w:space="0" w:color="auto"/>
                    <w:right w:val="none" w:sz="0" w:space="0" w:color="auto"/>
                  </w:divBdr>
                  <w:divsChild>
                    <w:div w:id="438064236">
                      <w:marLeft w:val="0"/>
                      <w:marRight w:val="0"/>
                      <w:marTop w:val="0"/>
                      <w:marBottom w:val="0"/>
                      <w:divBdr>
                        <w:top w:val="none" w:sz="0" w:space="0" w:color="auto"/>
                        <w:left w:val="none" w:sz="0" w:space="0" w:color="auto"/>
                        <w:bottom w:val="none" w:sz="0" w:space="0" w:color="auto"/>
                        <w:right w:val="none" w:sz="0" w:space="0" w:color="auto"/>
                      </w:divBdr>
                      <w:divsChild>
                        <w:div w:id="440223486">
                          <w:marLeft w:val="0"/>
                          <w:marRight w:val="0"/>
                          <w:marTop w:val="0"/>
                          <w:marBottom w:val="0"/>
                          <w:divBdr>
                            <w:top w:val="none" w:sz="0" w:space="0" w:color="auto"/>
                            <w:left w:val="none" w:sz="0" w:space="0" w:color="auto"/>
                            <w:bottom w:val="none" w:sz="0" w:space="0" w:color="auto"/>
                            <w:right w:val="none" w:sz="0" w:space="0" w:color="auto"/>
                          </w:divBdr>
                          <w:divsChild>
                            <w:div w:id="1700736207">
                              <w:marLeft w:val="0"/>
                              <w:marRight w:val="0"/>
                              <w:marTop w:val="0"/>
                              <w:marBottom w:val="0"/>
                              <w:divBdr>
                                <w:top w:val="none" w:sz="0" w:space="0" w:color="auto"/>
                                <w:left w:val="none" w:sz="0" w:space="0" w:color="auto"/>
                                <w:bottom w:val="none" w:sz="0" w:space="0" w:color="auto"/>
                                <w:right w:val="none" w:sz="0" w:space="0" w:color="auto"/>
                              </w:divBdr>
                              <w:divsChild>
                                <w:div w:id="991564737">
                                  <w:marLeft w:val="0"/>
                                  <w:marRight w:val="0"/>
                                  <w:marTop w:val="0"/>
                                  <w:marBottom w:val="0"/>
                                  <w:divBdr>
                                    <w:top w:val="none" w:sz="0" w:space="0" w:color="auto"/>
                                    <w:left w:val="none" w:sz="0" w:space="0" w:color="auto"/>
                                    <w:bottom w:val="none" w:sz="0" w:space="0" w:color="auto"/>
                                    <w:right w:val="none" w:sz="0" w:space="0" w:color="auto"/>
                                  </w:divBdr>
                                  <w:divsChild>
                                    <w:div w:id="2020541709">
                                      <w:marLeft w:val="0"/>
                                      <w:marRight w:val="0"/>
                                      <w:marTop w:val="0"/>
                                      <w:marBottom w:val="0"/>
                                      <w:divBdr>
                                        <w:top w:val="none" w:sz="0" w:space="0" w:color="auto"/>
                                        <w:left w:val="none" w:sz="0" w:space="0" w:color="auto"/>
                                        <w:bottom w:val="none" w:sz="0" w:space="0" w:color="auto"/>
                                        <w:right w:val="none" w:sz="0" w:space="0" w:color="auto"/>
                                      </w:divBdr>
                                      <w:divsChild>
                                        <w:div w:id="1388608430">
                                          <w:marLeft w:val="0"/>
                                          <w:marRight w:val="0"/>
                                          <w:marTop w:val="0"/>
                                          <w:marBottom w:val="0"/>
                                          <w:divBdr>
                                            <w:top w:val="none" w:sz="0" w:space="0" w:color="auto"/>
                                            <w:left w:val="none" w:sz="0" w:space="0" w:color="auto"/>
                                            <w:bottom w:val="none" w:sz="0" w:space="0" w:color="auto"/>
                                            <w:right w:val="none" w:sz="0" w:space="0" w:color="auto"/>
                                          </w:divBdr>
                                          <w:divsChild>
                                            <w:div w:id="1687242846">
                                              <w:marLeft w:val="0"/>
                                              <w:marRight w:val="0"/>
                                              <w:marTop w:val="0"/>
                                              <w:marBottom w:val="0"/>
                                              <w:divBdr>
                                                <w:top w:val="none" w:sz="0" w:space="0" w:color="auto"/>
                                                <w:left w:val="none" w:sz="0" w:space="0" w:color="auto"/>
                                                <w:bottom w:val="none" w:sz="0" w:space="0" w:color="auto"/>
                                                <w:right w:val="none" w:sz="0" w:space="0" w:color="auto"/>
                                              </w:divBdr>
                                              <w:divsChild>
                                                <w:div w:id="12883151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441966">
      <w:bodyDiv w:val="1"/>
      <w:marLeft w:val="0"/>
      <w:marRight w:val="0"/>
      <w:marTop w:val="0"/>
      <w:marBottom w:val="0"/>
      <w:divBdr>
        <w:top w:val="none" w:sz="0" w:space="0" w:color="auto"/>
        <w:left w:val="none" w:sz="0" w:space="0" w:color="auto"/>
        <w:bottom w:val="none" w:sz="0" w:space="0" w:color="auto"/>
        <w:right w:val="none" w:sz="0" w:space="0" w:color="auto"/>
      </w:divBdr>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81765636">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6A036-1BE7-4344-9B18-C588302F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32</cp:revision>
  <cp:lastPrinted>2019-03-25T03:05:00Z</cp:lastPrinted>
  <dcterms:created xsi:type="dcterms:W3CDTF">2020-05-13T01:17:00Z</dcterms:created>
  <dcterms:modified xsi:type="dcterms:W3CDTF">2020-05-15T09:28:00Z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